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00" w:rsidRPr="009A4AB6" w:rsidRDefault="00395F7D">
      <w:pPr>
        <w:rPr>
          <w:rFonts w:asciiTheme="minorEastAsia" w:eastAsiaTheme="minorEastAsia" w:hAnsiTheme="minorEastAsia"/>
          <w:b/>
          <w:sz w:val="28"/>
          <w:szCs w:val="28"/>
        </w:rPr>
      </w:pPr>
      <w:proofErr w:type="gramStart"/>
      <w:r w:rsidRPr="009A4AB6">
        <w:rPr>
          <w:rFonts w:asciiTheme="minorEastAsia" w:eastAsiaTheme="minorEastAsia" w:hAnsiTheme="minorEastAsia"/>
          <w:b/>
          <w:sz w:val="28"/>
          <w:szCs w:val="28"/>
        </w:rPr>
        <w:t>识险避险</w:t>
      </w:r>
      <w:proofErr w:type="gramEnd"/>
      <w:r w:rsidRPr="009A4AB6">
        <w:rPr>
          <w:rFonts w:asciiTheme="minorEastAsia" w:eastAsiaTheme="minorEastAsia" w:hAnsiTheme="minorEastAsia"/>
          <w:b/>
          <w:sz w:val="28"/>
          <w:szCs w:val="28"/>
        </w:rPr>
        <w:t xml:space="preserve"> </w:t>
      </w:r>
      <w:proofErr w:type="gramStart"/>
      <w:r w:rsidRPr="009A4AB6">
        <w:rPr>
          <w:rFonts w:asciiTheme="minorEastAsia" w:eastAsiaTheme="minorEastAsia" w:hAnsiTheme="minorEastAsia"/>
          <w:b/>
          <w:sz w:val="28"/>
          <w:szCs w:val="28"/>
        </w:rPr>
        <w:t>汇稳致</w:t>
      </w:r>
      <w:proofErr w:type="gramEnd"/>
      <w:r w:rsidRPr="009A4AB6">
        <w:rPr>
          <w:rFonts w:asciiTheme="minorEastAsia" w:eastAsiaTheme="minorEastAsia" w:hAnsiTheme="minorEastAsia"/>
          <w:b/>
          <w:sz w:val="28"/>
          <w:szCs w:val="28"/>
        </w:rPr>
        <w:t>远【2】 | 正确理解外汇套保：管好汇率风险，实现稳健增长</w:t>
      </w:r>
    </w:p>
    <w:p w:rsidR="00A87F00" w:rsidRPr="00914001" w:rsidRDefault="00395F7D" w:rsidP="00395F7D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外汇市场自律机制</w:t>
      </w:r>
    </w:p>
    <w:p w:rsidR="00A87F00" w:rsidRPr="00914001" w:rsidRDefault="00A87F00">
      <w:pPr>
        <w:rPr>
          <w:rFonts w:asciiTheme="minorEastAsia" w:eastAsiaTheme="minorEastAsia" w:hAnsiTheme="minorEastAsia"/>
          <w:sz w:val="28"/>
          <w:szCs w:val="28"/>
        </w:rPr>
      </w:pPr>
    </w:p>
    <w:p w:rsidR="00A87F00" w:rsidRPr="00914001" w:rsidRDefault="00395F7D">
      <w:pPr>
        <w:rPr>
          <w:rFonts w:asciiTheme="minorEastAsia" w:eastAsiaTheme="minorEastAsia" w:hAnsiTheme="minorEastAsia"/>
          <w:b/>
          <w:sz w:val="28"/>
          <w:szCs w:val="28"/>
        </w:rPr>
      </w:pPr>
      <w:r w:rsidRPr="00914001">
        <w:rPr>
          <w:rFonts w:asciiTheme="minorEastAsia" w:eastAsiaTheme="minorEastAsia" w:hAnsiTheme="minorEastAsia"/>
          <w:b/>
          <w:sz w:val="28"/>
          <w:szCs w:val="28"/>
        </w:rPr>
        <w:t>不少外贸企业都会遇到同一个烦心事：订单谈好了报价、成本算得清清楚楚，忙活两三个月交货收款，到头来却因为汇率涨跌，原本到手的利润凭空缩水，甚至直接亏钱。有人觉得“赌一把汇率涨跌说不定能多赚一笔”，也有人干脆放任汇兑风险不管。到底怎么做，才能稳稳攥住订单收益？今天我们就聊清楚：外汇套保到底是什么、怎么用才能保住企业利润。</w:t>
      </w:r>
    </w:p>
    <w:p w:rsidR="00A87F00" w:rsidRPr="00914001" w:rsidRDefault="00A87F00">
      <w:pPr>
        <w:rPr>
          <w:rFonts w:asciiTheme="minorEastAsia" w:eastAsiaTheme="minorEastAsia" w:hAnsiTheme="minorEastAsia"/>
          <w:sz w:val="28"/>
          <w:szCs w:val="28"/>
        </w:rPr>
      </w:pPr>
    </w:p>
    <w:p w:rsidR="00A87F00" w:rsidRPr="00914001" w:rsidRDefault="00395F7D">
      <w:pPr>
        <w:rPr>
          <w:rFonts w:asciiTheme="minorEastAsia" w:eastAsiaTheme="minorEastAsia" w:hAnsiTheme="minorEastAsia"/>
          <w:b/>
          <w:sz w:val="28"/>
          <w:szCs w:val="28"/>
        </w:rPr>
      </w:pPr>
      <w:r w:rsidRPr="00914001">
        <w:rPr>
          <w:rFonts w:asciiTheme="minorEastAsia" w:eastAsiaTheme="minorEastAsia" w:hAnsiTheme="minorEastAsia"/>
          <w:b/>
          <w:sz w:val="28"/>
          <w:szCs w:val="28"/>
        </w:rPr>
        <w:t xml:space="preserve"> 一、外汇套保:把</w:t>
      </w:r>
      <w:proofErr w:type="gramStart"/>
      <w:r w:rsidRPr="00914001">
        <w:rPr>
          <w:rFonts w:asciiTheme="minorEastAsia" w:eastAsiaTheme="minorEastAsia" w:hAnsiTheme="minorEastAsia"/>
          <w:b/>
          <w:sz w:val="28"/>
          <w:szCs w:val="28"/>
        </w:rPr>
        <w:t>订单汇率</w:t>
      </w:r>
      <w:proofErr w:type="gramEnd"/>
      <w:r w:rsidRPr="00914001">
        <w:rPr>
          <w:rFonts w:asciiTheme="minorEastAsia" w:eastAsiaTheme="minorEastAsia" w:hAnsiTheme="minorEastAsia"/>
          <w:b/>
          <w:sz w:val="28"/>
          <w:szCs w:val="28"/>
        </w:rPr>
        <w:t xml:space="preserve">提前“锁定” 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很多小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微企业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财务第一次接触远期、期权产品时，会觉得衍生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品专业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又复杂。其实外汇套保逻辑特别简单：它是落实汇率风险中性的实用工具，核心目的只有三件事——保值、避险、稳预期。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1.锁定订单的汇率收益与成本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订单签约时同步锁定远期结汇或购汇价格，定价、生产、核算全程按锁定的汇率算账，不会被汇率变动打乱经营计划；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2.降低不确定性风险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放弃靠判断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汇率行情博取投机收益的想法，避免单边大幅波动直接吞噬辛苦经营的主业利润；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3.专心聚焦核心生意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lastRenderedPageBreak/>
        <w:t>不用每天盯着外汇行情操心，把精力放在产品研发、客户拓展、生产管理上。</w:t>
      </w:r>
    </w:p>
    <w:p w:rsidR="00A87F00" w:rsidRPr="00914001" w:rsidRDefault="00395F7D">
      <w:pPr>
        <w:rPr>
          <w:rFonts w:asciiTheme="minorEastAsia" w:eastAsiaTheme="minorEastAsia" w:hAnsiTheme="minorEastAsia"/>
          <w:b/>
          <w:sz w:val="28"/>
          <w:szCs w:val="28"/>
        </w:rPr>
      </w:pPr>
      <w:r w:rsidRPr="00914001">
        <w:rPr>
          <w:rFonts w:asciiTheme="minorEastAsia" w:eastAsiaTheme="minorEastAsia" w:hAnsiTheme="minorEastAsia"/>
          <w:b/>
          <w:sz w:val="28"/>
          <w:szCs w:val="28"/>
        </w:rPr>
        <w:t xml:space="preserve"> 二、套保比率怎么选？别走入“全对冲/不对冲”两个极端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套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保不是锁汇比例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越高越好，每家企业应结合订单情况、利润率和资金状况情况，选择适合自己的套保策略。需要说明的是，以下套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保比例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仅为常见做法，仅供参考。具体到每家企业应根据实际情况，因企制宜，不宜直接简单套用。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1.已敲定的确定性订单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签好合同、收付汇时间明确，建议70%以上高比例套保，基本锁定这笔生意利润；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2.预估意向单、框架合作单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属于不确定或有订单，可以设置20%—50%弹性套保区间；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3.新手企业起步方案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优先选择固定比例策略，比如固定对冲每月应收外汇的50%，积累实操经验后，再灵活调整。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最重要的一条原则：定下套保制度就严格执行，不要因为短期汇率涨了、跌了，凭着主观想法随意更改计划。</w:t>
      </w:r>
    </w:p>
    <w:p w:rsidR="00A87F00" w:rsidRPr="00914001" w:rsidRDefault="00395F7D">
      <w:pPr>
        <w:rPr>
          <w:rFonts w:asciiTheme="minorEastAsia" w:eastAsiaTheme="minorEastAsia" w:hAnsiTheme="minorEastAsia"/>
          <w:b/>
          <w:sz w:val="28"/>
          <w:szCs w:val="28"/>
        </w:rPr>
      </w:pPr>
      <w:r w:rsidRPr="00914001">
        <w:rPr>
          <w:rFonts w:asciiTheme="minorEastAsia" w:eastAsiaTheme="minorEastAsia" w:hAnsiTheme="minorEastAsia"/>
          <w:b/>
          <w:sz w:val="28"/>
          <w:szCs w:val="28"/>
        </w:rPr>
        <w:t xml:space="preserve"> 三、分清一条红线：套保避险≠投机炒汇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同样是外汇衍生品操作，两种行为最终结果天差地别，也是很多企业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踩亏损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大坑的核心原因。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1.合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规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套保：依托真实贸易业务</w:t>
      </w:r>
    </w:p>
    <w:p w:rsidR="00A87F00" w:rsidRPr="00914001" w:rsidRDefault="00A87F00">
      <w:pPr>
        <w:rPr>
          <w:rFonts w:asciiTheme="minorEastAsia" w:eastAsiaTheme="minorEastAsia" w:hAnsiTheme="minorEastAsia"/>
          <w:sz w:val="28"/>
          <w:szCs w:val="28"/>
        </w:rPr>
      </w:pPr>
    </w:p>
    <w:p w:rsidR="00A87F00" w:rsidRPr="00914001" w:rsidRDefault="00A87F00">
      <w:pPr>
        <w:rPr>
          <w:rFonts w:asciiTheme="minorEastAsia" w:eastAsiaTheme="minorEastAsia" w:hAnsiTheme="minorEastAsia"/>
          <w:sz w:val="28"/>
          <w:szCs w:val="28"/>
        </w:rPr>
      </w:pP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套保金额、时间、币种，应与实际出口收汇、进口付汇实需相匹配，目的是对冲风险，无论汇率涨还是跌，整体经营收益基本稳定，一般不会出现大额汇兑损失。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2.外汇投机：脱离主业赌行情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没有真实订单支撑，或是远超实际经营敞口大额操作，单纯押注汇率涨跌赚取汇差。一旦行情走向和预判相反，极易产生大额亏损、占用现金流，严重时直接拖累公司经营。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举两个真实案例：一家年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收汇超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10亿美元的家电出口大厂，坚持按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月分批固定锁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汇，多年来出口回款受汇率波动影响较小，现金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流始终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稳健；另一家贸易企业，订单签约到收汇周期约三个月，却因盲目赌人民币升值，在尚未签订订单的情况下，按预估订单量全额签约一年以上的远期结汇，后续汇率反向波动，订单实际签约量不及预期，造成远期结汇无法正常履约，平仓产生的亏损严重影响了企业的正常经营。</w:t>
      </w:r>
    </w:p>
    <w:p w:rsidR="00A87F00" w:rsidRPr="00914001" w:rsidRDefault="00395F7D">
      <w:pPr>
        <w:rPr>
          <w:rFonts w:asciiTheme="minorEastAsia" w:eastAsiaTheme="minorEastAsia" w:hAnsiTheme="minorEastAsia"/>
          <w:b/>
          <w:sz w:val="28"/>
          <w:szCs w:val="28"/>
        </w:rPr>
      </w:pPr>
      <w:r w:rsidRPr="00914001">
        <w:rPr>
          <w:rFonts w:asciiTheme="minorEastAsia" w:eastAsiaTheme="minorEastAsia" w:hAnsiTheme="minorEastAsia"/>
          <w:b/>
          <w:sz w:val="28"/>
          <w:szCs w:val="28"/>
        </w:rPr>
        <w:t xml:space="preserve"> 四、落地实操建议：企业内部协同做好汇率风控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汇率避险不是财务一个部门的事，从上到下统一思路，才能长期见效：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1.企业负责人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扭转“套保必须赚钱、坐等最优汇率点位”的误区，建立合理考核方式，不单独以某一笔套保盈亏评判好坏；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2.财务部门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落地标准化套保方案，减少情绪化择时操作，严格执行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既定对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冲比例；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lastRenderedPageBreak/>
        <w:t>3.业务销售岗</w:t>
      </w:r>
    </w:p>
    <w:p w:rsidR="00A87F00" w:rsidRPr="00914001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签单报价阶段就把远期汇率风险考虑进去，从源头规避利润隐患。</w:t>
      </w:r>
    </w:p>
    <w:p w:rsidR="00A87F00" w:rsidRDefault="00395F7D">
      <w:pPr>
        <w:rPr>
          <w:rFonts w:asciiTheme="minorEastAsia" w:eastAsiaTheme="minorEastAsia" w:hAnsiTheme="minorEastAsia"/>
          <w:sz w:val="28"/>
          <w:szCs w:val="28"/>
        </w:rPr>
      </w:pPr>
      <w:r w:rsidRPr="00914001">
        <w:rPr>
          <w:rFonts w:asciiTheme="minorEastAsia" w:eastAsiaTheme="minorEastAsia" w:hAnsiTheme="minorEastAsia"/>
          <w:sz w:val="28"/>
          <w:szCs w:val="28"/>
        </w:rPr>
        <w:t>人民币汇率双向波动已经是常态。对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实体外贸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企业而言，一次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碰巧赌对汇率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只是短期运气，心无旁骛专于主业，借助银行等专业机构力量，培养汇率风险管理人才，建立常态化外汇套保机制，才是守住经营基本盘、实现长期稳健发展的长久办法。主动识险、科学避险，方</w:t>
      </w:r>
      <w:proofErr w:type="gramStart"/>
      <w:r w:rsidRPr="00914001">
        <w:rPr>
          <w:rFonts w:asciiTheme="minorEastAsia" w:eastAsiaTheme="minorEastAsia" w:hAnsiTheme="minorEastAsia"/>
          <w:sz w:val="28"/>
          <w:szCs w:val="28"/>
        </w:rPr>
        <w:t>能汇稳致</w:t>
      </w:r>
      <w:proofErr w:type="gramEnd"/>
      <w:r w:rsidRPr="00914001">
        <w:rPr>
          <w:rFonts w:asciiTheme="minorEastAsia" w:eastAsiaTheme="minorEastAsia" w:hAnsiTheme="minorEastAsia"/>
          <w:sz w:val="28"/>
          <w:szCs w:val="28"/>
        </w:rPr>
        <w:t>远。</w:t>
      </w:r>
    </w:p>
    <w:p w:rsidR="00572C10" w:rsidRDefault="00572C10">
      <w:pPr>
        <w:rPr>
          <w:rFonts w:asciiTheme="minorEastAsia" w:eastAsiaTheme="minorEastAsia" w:hAnsiTheme="minorEastAsia"/>
          <w:sz w:val="28"/>
          <w:szCs w:val="28"/>
        </w:rPr>
      </w:pPr>
    </w:p>
    <w:p w:rsidR="00572C10" w:rsidRDefault="00572C10">
      <w:pPr>
        <w:rPr>
          <w:rFonts w:asciiTheme="minorEastAsia" w:eastAsiaTheme="minorEastAsia" w:hAnsiTheme="minorEastAsia"/>
          <w:sz w:val="28"/>
          <w:szCs w:val="28"/>
        </w:rPr>
      </w:pPr>
    </w:p>
    <w:p w:rsidR="00572C10" w:rsidRDefault="00572C10" w:rsidP="00572C10">
      <w:pPr>
        <w:rPr>
          <w:sz w:val="26"/>
        </w:rPr>
      </w:pPr>
      <w:r w:rsidRPr="00A55AD8">
        <w:rPr>
          <w:rFonts w:hint="eastAsia"/>
          <w:sz w:val="26"/>
        </w:rPr>
        <w:t>供稿：</w:t>
      </w:r>
      <w:r>
        <w:rPr>
          <w:rFonts w:hint="eastAsia"/>
          <w:sz w:val="26"/>
        </w:rPr>
        <w:t>中国</w:t>
      </w:r>
      <w:r w:rsidR="00A52DD7">
        <w:rPr>
          <w:rFonts w:hint="eastAsia"/>
          <w:sz w:val="26"/>
        </w:rPr>
        <w:t>农业</w:t>
      </w:r>
      <w:bookmarkStart w:id="0" w:name="_GoBack"/>
      <w:bookmarkEnd w:id="0"/>
      <w:r>
        <w:rPr>
          <w:rFonts w:hint="eastAsia"/>
          <w:sz w:val="26"/>
        </w:rPr>
        <w:t>银行</w:t>
      </w:r>
    </w:p>
    <w:p w:rsidR="00572C10" w:rsidRPr="00A55AD8" w:rsidRDefault="00572C10" w:rsidP="00572C10">
      <w:pPr>
        <w:jc w:val="left"/>
        <w:rPr>
          <w:sz w:val="26"/>
        </w:rPr>
      </w:pPr>
      <w:r>
        <w:rPr>
          <w:rFonts w:hint="eastAsia"/>
          <w:sz w:val="26"/>
        </w:rPr>
        <w:t>审稿：外汇市场自律机制专家组</w:t>
      </w:r>
    </w:p>
    <w:p w:rsidR="00572C10" w:rsidRPr="00572C10" w:rsidRDefault="00572C10">
      <w:pPr>
        <w:rPr>
          <w:rFonts w:asciiTheme="minorEastAsia" w:eastAsiaTheme="minorEastAsia" w:hAnsiTheme="minorEastAsia"/>
          <w:sz w:val="28"/>
          <w:szCs w:val="28"/>
        </w:rPr>
      </w:pPr>
    </w:p>
    <w:sectPr w:rsidR="00572C10" w:rsidRPr="00572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71B" w:rsidRDefault="0073771B" w:rsidP="00572C10">
      <w:r>
        <w:separator/>
      </w:r>
    </w:p>
  </w:endnote>
  <w:endnote w:type="continuationSeparator" w:id="0">
    <w:p w:rsidR="0073771B" w:rsidRDefault="0073771B" w:rsidP="00572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71B" w:rsidRDefault="0073771B" w:rsidP="00572C10">
      <w:r>
        <w:separator/>
      </w:r>
    </w:p>
  </w:footnote>
  <w:footnote w:type="continuationSeparator" w:id="0">
    <w:p w:rsidR="0073771B" w:rsidRDefault="0073771B" w:rsidP="00572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00"/>
    <w:rsid w:val="00395F7D"/>
    <w:rsid w:val="00572C10"/>
    <w:rsid w:val="0073771B"/>
    <w:rsid w:val="00914001"/>
    <w:rsid w:val="009A4AB6"/>
    <w:rsid w:val="00A52DD7"/>
    <w:rsid w:val="00A87F00"/>
    <w:rsid w:val="00F81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2C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2C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2C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2C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2C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2C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2C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2C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ALN-AL00</dc:creator>
  <cp:lastModifiedBy>乔华</cp:lastModifiedBy>
  <cp:revision>6</cp:revision>
  <dcterms:created xsi:type="dcterms:W3CDTF">2026-08-11T03:24:00Z</dcterms:created>
  <dcterms:modified xsi:type="dcterms:W3CDTF">2026-08-11T07:55:00Z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a3bbddaef4524c2c8ec54488f1854cf1_21</vt:lpwstr>
  </property>
</Properties>
</file>