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BD691" w14:textId="77777777" w:rsidR="00DF5F45" w:rsidRDefault="00DF5F45">
      <w:pPr>
        <w:adjustRightInd w:val="0"/>
        <w:snapToGrid w:val="0"/>
        <w:spacing w:line="360" w:lineRule="auto"/>
        <w:jc w:val="center"/>
        <w:rPr>
          <w:rFonts w:ascii="宋体" w:hAnsi="宋体" w:cs="Arial"/>
          <w:color w:val="000000" w:themeColor="text1"/>
          <w:sz w:val="24"/>
        </w:rPr>
      </w:pPr>
    </w:p>
    <w:p w14:paraId="28A330E0" w14:textId="77777777" w:rsidR="00DF5F45" w:rsidRDefault="00DF5F45">
      <w:pPr>
        <w:adjustRightInd w:val="0"/>
        <w:snapToGrid w:val="0"/>
        <w:spacing w:line="360" w:lineRule="auto"/>
        <w:jc w:val="center"/>
        <w:rPr>
          <w:rFonts w:ascii="宋体" w:hAnsi="宋体" w:cs="Arial"/>
          <w:color w:val="000000" w:themeColor="text1"/>
          <w:sz w:val="24"/>
        </w:rPr>
      </w:pPr>
    </w:p>
    <w:p w14:paraId="1796BDB2" w14:textId="77777777" w:rsidR="00DF5F45" w:rsidRDefault="00DF5F45">
      <w:pPr>
        <w:adjustRightInd w:val="0"/>
        <w:snapToGrid w:val="0"/>
        <w:spacing w:line="360" w:lineRule="auto"/>
        <w:jc w:val="center"/>
        <w:rPr>
          <w:rFonts w:ascii="宋体" w:hAnsi="宋体" w:cs="Arial"/>
          <w:color w:val="000000" w:themeColor="text1"/>
          <w:sz w:val="24"/>
        </w:rPr>
      </w:pPr>
    </w:p>
    <w:p w14:paraId="0CF8119C" w14:textId="77777777" w:rsidR="00DF5F45" w:rsidRDefault="00DF5F45">
      <w:pPr>
        <w:adjustRightInd w:val="0"/>
        <w:snapToGrid w:val="0"/>
        <w:spacing w:line="360" w:lineRule="auto"/>
        <w:jc w:val="center"/>
        <w:rPr>
          <w:rFonts w:ascii="宋体" w:hAnsi="宋体" w:cs="Arial"/>
          <w:color w:val="000000" w:themeColor="text1"/>
          <w:sz w:val="24"/>
        </w:rPr>
      </w:pPr>
    </w:p>
    <w:p w14:paraId="23C84D23" w14:textId="77777777" w:rsidR="00DF5F45" w:rsidRDefault="00DF5F45">
      <w:pPr>
        <w:adjustRightInd w:val="0"/>
        <w:snapToGrid w:val="0"/>
        <w:spacing w:line="360" w:lineRule="auto"/>
        <w:jc w:val="center"/>
        <w:rPr>
          <w:rFonts w:ascii="宋体" w:hAnsi="宋体" w:cs="Arial"/>
          <w:color w:val="000000" w:themeColor="text1"/>
          <w:sz w:val="24"/>
        </w:rPr>
      </w:pPr>
    </w:p>
    <w:p w14:paraId="56440BC9" w14:textId="77777777" w:rsidR="00DF5F45" w:rsidRDefault="00DF5F45">
      <w:pPr>
        <w:adjustRightInd w:val="0"/>
        <w:snapToGrid w:val="0"/>
        <w:spacing w:line="360" w:lineRule="auto"/>
        <w:jc w:val="center"/>
        <w:rPr>
          <w:rFonts w:ascii="宋体" w:hAnsi="宋体" w:cs="Arial"/>
          <w:color w:val="000000" w:themeColor="text1"/>
          <w:sz w:val="24"/>
        </w:rPr>
      </w:pPr>
    </w:p>
    <w:p w14:paraId="0B84F038" w14:textId="77777777" w:rsidR="00DF5F45" w:rsidRDefault="00DF5F45">
      <w:pPr>
        <w:adjustRightInd w:val="0"/>
        <w:snapToGrid w:val="0"/>
        <w:spacing w:line="360" w:lineRule="auto"/>
        <w:jc w:val="center"/>
        <w:rPr>
          <w:rFonts w:ascii="宋体" w:hAnsi="宋体" w:cs="Arial"/>
          <w:color w:val="000000" w:themeColor="text1"/>
          <w:sz w:val="24"/>
        </w:rPr>
      </w:pPr>
    </w:p>
    <w:p w14:paraId="060051CA" w14:textId="77777777" w:rsidR="00DF5F45" w:rsidRDefault="00DF5F45">
      <w:pPr>
        <w:adjustRightInd w:val="0"/>
        <w:snapToGrid w:val="0"/>
        <w:spacing w:line="360" w:lineRule="auto"/>
        <w:jc w:val="center"/>
        <w:rPr>
          <w:rFonts w:ascii="宋体" w:hAnsi="宋体" w:cs="Arial"/>
          <w:color w:val="000000" w:themeColor="text1"/>
          <w:sz w:val="24"/>
        </w:rPr>
      </w:pPr>
    </w:p>
    <w:p w14:paraId="554E63C2" w14:textId="77777777" w:rsidR="00DF5F45" w:rsidRDefault="00DF5F45">
      <w:pPr>
        <w:adjustRightInd w:val="0"/>
        <w:snapToGrid w:val="0"/>
        <w:spacing w:line="360" w:lineRule="auto"/>
        <w:jc w:val="center"/>
        <w:rPr>
          <w:rFonts w:ascii="宋体" w:hAnsi="宋体" w:cs="Arial"/>
          <w:color w:val="000000" w:themeColor="text1"/>
          <w:sz w:val="24"/>
        </w:rPr>
      </w:pPr>
    </w:p>
    <w:p w14:paraId="3B55FE37" w14:textId="77777777" w:rsidR="00DF5F45" w:rsidRDefault="00DF5F45">
      <w:pPr>
        <w:adjustRightInd w:val="0"/>
        <w:snapToGrid w:val="0"/>
        <w:spacing w:line="360" w:lineRule="auto"/>
        <w:jc w:val="center"/>
        <w:rPr>
          <w:rFonts w:ascii="宋体" w:hAnsi="宋体" w:cs="Arial"/>
          <w:color w:val="000000" w:themeColor="text1"/>
          <w:sz w:val="24"/>
        </w:rPr>
      </w:pPr>
    </w:p>
    <w:p w14:paraId="6D065DAB" w14:textId="77777777" w:rsidR="00DF5F45" w:rsidRDefault="00DF5F45">
      <w:pPr>
        <w:adjustRightInd w:val="0"/>
        <w:snapToGrid w:val="0"/>
        <w:spacing w:line="360" w:lineRule="auto"/>
        <w:jc w:val="center"/>
        <w:rPr>
          <w:rFonts w:ascii="宋体" w:hAnsi="宋体" w:cs="Arial"/>
          <w:color w:val="000000" w:themeColor="text1"/>
          <w:sz w:val="28"/>
        </w:rPr>
      </w:pPr>
    </w:p>
    <w:p w14:paraId="28445339" w14:textId="1EDD4704" w:rsidR="00DF5F45" w:rsidRDefault="00153BE1">
      <w:pPr>
        <w:adjustRightInd w:val="0"/>
        <w:snapToGrid w:val="0"/>
        <w:spacing w:line="360" w:lineRule="auto"/>
        <w:jc w:val="center"/>
        <w:rPr>
          <w:rFonts w:ascii="宋体" w:hAnsi="宋体" w:cs="Arial"/>
          <w:b/>
          <w:color w:val="000000" w:themeColor="text1"/>
          <w:sz w:val="44"/>
        </w:rPr>
      </w:pPr>
      <w:r>
        <w:rPr>
          <w:rFonts w:ascii="宋体" w:hAnsi="宋体" w:cs="Arial" w:hint="eastAsia"/>
          <w:b/>
          <w:color w:val="000000" w:themeColor="text1"/>
          <w:sz w:val="44"/>
        </w:rPr>
        <w:t>浦银新材料混合型</w:t>
      </w:r>
    </w:p>
    <w:p w14:paraId="60396CF9" w14:textId="77777777" w:rsidR="00DF5F45" w:rsidRDefault="00153BE1">
      <w:pPr>
        <w:adjustRightInd w:val="0"/>
        <w:snapToGrid w:val="0"/>
        <w:spacing w:line="360" w:lineRule="auto"/>
        <w:jc w:val="center"/>
        <w:rPr>
          <w:rFonts w:ascii="宋体" w:hAnsi="宋体" w:cs="Arial"/>
          <w:b/>
          <w:color w:val="000000" w:themeColor="text1"/>
          <w:sz w:val="44"/>
        </w:rPr>
      </w:pPr>
      <w:r>
        <w:rPr>
          <w:rFonts w:ascii="宋体" w:hAnsi="宋体" w:cs="Arial" w:hint="eastAsia"/>
          <w:b/>
          <w:color w:val="000000" w:themeColor="text1"/>
          <w:sz w:val="44"/>
        </w:rPr>
        <w:t>发起式证券投资基金</w:t>
      </w:r>
    </w:p>
    <w:p w14:paraId="1616804D" w14:textId="00AB2E6D" w:rsidR="00DF5F45" w:rsidRDefault="00153BE1">
      <w:pPr>
        <w:adjustRightInd w:val="0"/>
        <w:snapToGrid w:val="0"/>
        <w:spacing w:line="360" w:lineRule="auto"/>
        <w:jc w:val="center"/>
        <w:rPr>
          <w:rFonts w:ascii="宋体" w:hAnsi="宋体" w:cs="Arial"/>
          <w:b/>
          <w:color w:val="000000" w:themeColor="text1"/>
          <w:sz w:val="44"/>
        </w:rPr>
      </w:pPr>
      <w:r>
        <w:rPr>
          <w:rFonts w:ascii="宋体" w:hAnsi="宋体" w:cs="Arial" w:hint="eastAsia"/>
          <w:b/>
          <w:color w:val="000000" w:themeColor="text1"/>
          <w:sz w:val="44"/>
        </w:rPr>
        <w:t>托管协议</w:t>
      </w:r>
    </w:p>
    <w:p w14:paraId="7844B667" w14:textId="77777777" w:rsidR="00DF5F45" w:rsidRDefault="00DF5F45">
      <w:pPr>
        <w:rPr>
          <w:color w:val="000000" w:themeColor="text1"/>
        </w:rPr>
      </w:pPr>
    </w:p>
    <w:p w14:paraId="7F16829A" w14:textId="77777777" w:rsidR="00DF5F45" w:rsidRDefault="00DF5F45">
      <w:pPr>
        <w:rPr>
          <w:color w:val="000000" w:themeColor="text1"/>
        </w:rPr>
      </w:pPr>
    </w:p>
    <w:p w14:paraId="1D9D5172" w14:textId="77777777" w:rsidR="00DF5F45" w:rsidRDefault="00DF5F45">
      <w:pPr>
        <w:rPr>
          <w:color w:val="000000" w:themeColor="text1"/>
        </w:rPr>
      </w:pPr>
    </w:p>
    <w:p w14:paraId="374A53DD" w14:textId="77777777" w:rsidR="00DF5F45" w:rsidRDefault="00DF5F45">
      <w:pPr>
        <w:rPr>
          <w:color w:val="000000" w:themeColor="text1"/>
        </w:rPr>
      </w:pPr>
    </w:p>
    <w:p w14:paraId="398009C5" w14:textId="77777777" w:rsidR="00DF5F45" w:rsidRDefault="00DF5F45">
      <w:pPr>
        <w:jc w:val="center"/>
        <w:rPr>
          <w:color w:val="000000" w:themeColor="text1"/>
        </w:rPr>
      </w:pPr>
    </w:p>
    <w:p w14:paraId="0003A529" w14:textId="77777777" w:rsidR="00DF5F45" w:rsidRDefault="00DF5F45">
      <w:pPr>
        <w:jc w:val="center"/>
        <w:rPr>
          <w:color w:val="000000" w:themeColor="text1"/>
        </w:rPr>
      </w:pPr>
    </w:p>
    <w:p w14:paraId="26E3BA29" w14:textId="77777777" w:rsidR="00DF5F45" w:rsidRDefault="00DF5F45">
      <w:pPr>
        <w:jc w:val="center"/>
        <w:rPr>
          <w:color w:val="000000" w:themeColor="text1"/>
        </w:rPr>
      </w:pPr>
    </w:p>
    <w:p w14:paraId="09698D71" w14:textId="4220C7C4" w:rsidR="00DF5F45" w:rsidRDefault="00153BE1">
      <w:pPr>
        <w:jc w:val="center"/>
        <w:rPr>
          <w:b/>
          <w:bCs/>
          <w:color w:val="000000" w:themeColor="text1"/>
          <w:sz w:val="28"/>
        </w:rPr>
      </w:pPr>
      <w:r>
        <w:rPr>
          <w:rFonts w:hint="eastAsia"/>
          <w:b/>
          <w:bCs/>
          <w:color w:val="000000" w:themeColor="text1"/>
          <w:sz w:val="28"/>
        </w:rPr>
        <w:t>基金管理人：</w:t>
      </w:r>
      <w:r w:rsidR="00850743">
        <w:rPr>
          <w:rFonts w:hint="eastAsia"/>
          <w:b/>
          <w:bCs/>
          <w:color w:val="000000" w:themeColor="text1"/>
          <w:sz w:val="28"/>
        </w:rPr>
        <w:t>浦银基金</w:t>
      </w:r>
      <w:r>
        <w:rPr>
          <w:rFonts w:hint="eastAsia"/>
          <w:b/>
          <w:bCs/>
          <w:color w:val="000000" w:themeColor="text1"/>
          <w:sz w:val="28"/>
        </w:rPr>
        <w:t>管理有限公司</w:t>
      </w:r>
    </w:p>
    <w:p w14:paraId="3163E17C" w14:textId="77777777" w:rsidR="00DF5F45" w:rsidRDefault="00153BE1">
      <w:pPr>
        <w:jc w:val="center"/>
        <w:rPr>
          <w:b/>
          <w:bCs/>
          <w:color w:val="000000" w:themeColor="text1"/>
          <w:sz w:val="28"/>
        </w:rPr>
      </w:pPr>
      <w:r>
        <w:rPr>
          <w:rFonts w:hint="eastAsia"/>
          <w:b/>
          <w:bCs/>
          <w:color w:val="000000" w:themeColor="text1"/>
          <w:sz w:val="28"/>
        </w:rPr>
        <w:t>基金托管人：中国建设银行股份有限公司</w:t>
      </w:r>
    </w:p>
    <w:p w14:paraId="5FCE216F" w14:textId="77777777" w:rsidR="00DF5F45" w:rsidRDefault="00DF5F45">
      <w:pPr>
        <w:jc w:val="center"/>
        <w:rPr>
          <w:color w:val="000000" w:themeColor="text1"/>
        </w:rPr>
      </w:pPr>
    </w:p>
    <w:p w14:paraId="01E5772F" w14:textId="77777777" w:rsidR="00DF5F45" w:rsidRDefault="00DF5F45">
      <w:pPr>
        <w:jc w:val="center"/>
        <w:rPr>
          <w:color w:val="000000" w:themeColor="text1"/>
        </w:rPr>
      </w:pPr>
    </w:p>
    <w:p w14:paraId="5B19E565" w14:textId="77777777" w:rsidR="00DF5F45" w:rsidRDefault="00DF5F45">
      <w:pPr>
        <w:jc w:val="center"/>
        <w:rPr>
          <w:rFonts w:ascii="宋体" w:hAnsi="宋体" w:cs="Arial"/>
          <w:color w:val="000000" w:themeColor="text1"/>
          <w:sz w:val="24"/>
        </w:rPr>
      </w:pPr>
    </w:p>
    <w:p w14:paraId="0B822AB0" w14:textId="77777777" w:rsidR="00DF5F45" w:rsidRDefault="00DF5F45">
      <w:pPr>
        <w:jc w:val="center"/>
        <w:rPr>
          <w:rFonts w:ascii="宋体" w:hAnsi="宋体" w:cs="Arial"/>
          <w:color w:val="000000" w:themeColor="text1"/>
          <w:sz w:val="24"/>
        </w:rPr>
      </w:pPr>
    </w:p>
    <w:p w14:paraId="1BAC67FF" w14:textId="77777777" w:rsidR="00DF5F45" w:rsidRDefault="00DF5F45">
      <w:pPr>
        <w:jc w:val="center"/>
        <w:rPr>
          <w:rFonts w:ascii="宋体" w:hAnsi="宋体" w:cs="Arial"/>
          <w:color w:val="000000" w:themeColor="text1"/>
          <w:sz w:val="24"/>
        </w:rPr>
      </w:pPr>
    </w:p>
    <w:p w14:paraId="401E751B" w14:textId="7E9C7E92" w:rsidR="00DF5F45" w:rsidRDefault="00153BE1">
      <w:pPr>
        <w:jc w:val="center"/>
        <w:rPr>
          <w:rFonts w:ascii="宋体" w:hAnsi="宋体" w:cs="Arial"/>
          <w:color w:val="000000" w:themeColor="text1"/>
          <w:sz w:val="24"/>
        </w:rPr>
      </w:pPr>
      <w:r>
        <w:rPr>
          <w:rFonts w:ascii="宋体" w:hAnsi="宋体" w:cs="Arial" w:hint="eastAsia"/>
          <w:color w:val="000000" w:themeColor="text1"/>
          <w:sz w:val="24"/>
        </w:rPr>
        <w:t>二零二</w:t>
      </w:r>
      <w:r>
        <w:rPr>
          <w:rFonts w:ascii="宋体" w:hAnsi="宋体" w:cs="Arial"/>
          <w:color w:val="000000" w:themeColor="text1"/>
          <w:sz w:val="24"/>
        </w:rPr>
        <w:t>六</w:t>
      </w:r>
      <w:r>
        <w:rPr>
          <w:rFonts w:ascii="宋体" w:hAnsi="宋体" w:cs="Arial" w:hint="eastAsia"/>
          <w:color w:val="000000" w:themeColor="text1"/>
          <w:sz w:val="24"/>
        </w:rPr>
        <w:t>年</w:t>
      </w:r>
      <w:r w:rsidR="00850743">
        <w:rPr>
          <w:rFonts w:ascii="宋体" w:hAnsi="宋体" w:cs="Arial" w:hint="eastAsia"/>
          <w:color w:val="000000" w:themeColor="text1"/>
          <w:sz w:val="24"/>
        </w:rPr>
        <w:t>八</w:t>
      </w:r>
      <w:r>
        <w:rPr>
          <w:rFonts w:ascii="宋体" w:hAnsi="宋体" w:cs="Arial" w:hint="eastAsia"/>
          <w:color w:val="000000" w:themeColor="text1"/>
          <w:sz w:val="24"/>
        </w:rPr>
        <w:t>月</w:t>
      </w:r>
    </w:p>
    <w:p w14:paraId="6B7F73FC" w14:textId="77777777" w:rsidR="00DF5F45" w:rsidRDefault="00DF5F45">
      <w:pPr>
        <w:rPr>
          <w:color w:val="000000" w:themeColor="text1"/>
        </w:rPr>
      </w:pPr>
    </w:p>
    <w:p w14:paraId="139168F6" w14:textId="77777777" w:rsidR="00DF5F45" w:rsidRDefault="00DF5F45">
      <w:pPr>
        <w:adjustRightInd w:val="0"/>
        <w:snapToGrid w:val="0"/>
        <w:spacing w:line="360" w:lineRule="auto"/>
        <w:jc w:val="center"/>
        <w:rPr>
          <w:rFonts w:ascii="宋体" w:hAnsi="宋体" w:cs="Arial"/>
          <w:bCs/>
          <w:color w:val="000000" w:themeColor="text1"/>
          <w:sz w:val="24"/>
        </w:rPr>
      </w:pPr>
    </w:p>
    <w:p w14:paraId="27B509DD" w14:textId="77777777" w:rsidR="00DF5F45" w:rsidRDefault="00DF5F45">
      <w:pPr>
        <w:adjustRightInd w:val="0"/>
        <w:snapToGrid w:val="0"/>
        <w:spacing w:line="360" w:lineRule="auto"/>
        <w:rPr>
          <w:rFonts w:ascii="宋体" w:hAnsi="宋体" w:cs="Arial"/>
          <w:bCs/>
          <w:color w:val="000000" w:themeColor="text1"/>
          <w:sz w:val="24"/>
        </w:rPr>
        <w:sectPr w:rsidR="00DF5F45">
          <w:footerReference w:type="even" r:id="rId7"/>
          <w:pgSz w:w="11906" w:h="16838"/>
          <w:pgMar w:top="1418" w:right="1701" w:bottom="1418" w:left="1701" w:header="851" w:footer="992" w:gutter="0"/>
          <w:cols w:space="720"/>
          <w:docGrid w:type="lines" w:linePitch="312"/>
        </w:sectPr>
      </w:pPr>
    </w:p>
    <w:p w14:paraId="674838DA" w14:textId="77777777" w:rsidR="00DF5F45" w:rsidRDefault="00DF5F45">
      <w:pPr>
        <w:adjustRightInd w:val="0"/>
        <w:snapToGrid w:val="0"/>
        <w:spacing w:line="360" w:lineRule="auto"/>
        <w:rPr>
          <w:rFonts w:ascii="宋体" w:hAnsi="宋体" w:cs="Arial"/>
          <w:bCs/>
          <w:color w:val="000000" w:themeColor="text1"/>
          <w:sz w:val="22"/>
        </w:rPr>
      </w:pPr>
    </w:p>
    <w:p w14:paraId="58B9EDAB" w14:textId="77777777" w:rsidR="00DF5F45" w:rsidRDefault="00153BE1">
      <w:pPr>
        <w:spacing w:line="360" w:lineRule="auto"/>
        <w:jc w:val="center"/>
        <w:rPr>
          <w:rFonts w:ascii="宋体" w:hAnsi="宋体"/>
          <w:b/>
          <w:bCs/>
          <w:color w:val="000000" w:themeColor="text1"/>
          <w:sz w:val="28"/>
        </w:rPr>
      </w:pPr>
      <w:r>
        <w:rPr>
          <w:rFonts w:ascii="宋体" w:hAnsi="宋体" w:hint="eastAsia"/>
          <w:b/>
          <w:bCs/>
          <w:color w:val="000000" w:themeColor="text1"/>
          <w:sz w:val="28"/>
        </w:rPr>
        <w:t>目    录</w:t>
      </w:r>
    </w:p>
    <w:p w14:paraId="6FDF973A" w14:textId="35B707AA" w:rsidR="00DF5F45" w:rsidRDefault="00153BE1">
      <w:pPr>
        <w:pStyle w:val="21"/>
        <w:tabs>
          <w:tab w:val="right" w:leader="dot" w:pos="8494"/>
        </w:tabs>
        <w:spacing w:line="360" w:lineRule="auto"/>
        <w:rPr>
          <w:rFonts w:ascii="宋体" w:hAnsi="宋体"/>
          <w:noProof/>
          <w:color w:val="000000" w:themeColor="text1"/>
          <w:sz w:val="24"/>
        </w:rPr>
      </w:pPr>
      <w:r>
        <w:rPr>
          <w:rFonts w:ascii="宋体" w:hAnsi="宋体" w:hint="eastAsia"/>
          <w:color w:val="000000" w:themeColor="text1"/>
          <w:sz w:val="24"/>
        </w:rPr>
        <w:fldChar w:fldCharType="begin"/>
      </w:r>
      <w:r>
        <w:rPr>
          <w:rFonts w:ascii="宋体" w:hAnsi="宋体" w:hint="eastAsia"/>
          <w:color w:val="000000" w:themeColor="text1"/>
          <w:sz w:val="24"/>
        </w:rPr>
        <w:instrText xml:space="preserve"> TOC \o "1-2" \h \z </w:instrText>
      </w:r>
      <w:r>
        <w:rPr>
          <w:rFonts w:ascii="宋体" w:hAnsi="宋体" w:hint="eastAsia"/>
          <w:color w:val="000000" w:themeColor="text1"/>
          <w:sz w:val="24"/>
        </w:rPr>
        <w:fldChar w:fldCharType="separate"/>
      </w:r>
      <w:hyperlink w:anchor="_Toc124325885" w:history="1">
        <w:r>
          <w:rPr>
            <w:rStyle w:val="af"/>
            <w:rFonts w:ascii="宋体" w:hAnsi="宋体" w:hint="eastAsia"/>
            <w:noProof/>
            <w:color w:val="000000" w:themeColor="text1"/>
            <w:sz w:val="24"/>
            <w:szCs w:val="32"/>
          </w:rPr>
          <w:t>一、基金托管协议当事人</w:t>
        </w:r>
        <w:r>
          <w:rPr>
            <w:rFonts w:ascii="宋体" w:hAnsi="宋体" w:hint="eastAsia"/>
            <w:noProof/>
            <w:color w:val="000000" w:themeColor="text1"/>
            <w:sz w:val="24"/>
          </w:rPr>
          <w:tab/>
        </w:r>
        <w:r>
          <w:rPr>
            <w:rFonts w:ascii="宋体" w:hAnsi="宋体" w:hint="eastAsia"/>
            <w:noProof/>
            <w:color w:val="000000" w:themeColor="text1"/>
            <w:sz w:val="24"/>
          </w:rPr>
          <w:fldChar w:fldCharType="begin"/>
        </w:r>
        <w:r>
          <w:rPr>
            <w:rFonts w:ascii="宋体" w:hAnsi="宋体" w:hint="eastAsia"/>
            <w:noProof/>
            <w:color w:val="000000" w:themeColor="text1"/>
            <w:sz w:val="24"/>
          </w:rPr>
          <w:instrText xml:space="preserve"> PAGEREF _Toc124325885 \h </w:instrText>
        </w:r>
        <w:r>
          <w:rPr>
            <w:rFonts w:ascii="宋体" w:hAnsi="宋体" w:hint="eastAsia"/>
            <w:noProof/>
            <w:color w:val="000000" w:themeColor="text1"/>
            <w:sz w:val="24"/>
          </w:rPr>
        </w:r>
        <w:r>
          <w:rPr>
            <w:rFonts w:ascii="宋体" w:hAnsi="宋体" w:hint="eastAsia"/>
            <w:noProof/>
            <w:color w:val="000000" w:themeColor="text1"/>
            <w:sz w:val="24"/>
          </w:rPr>
          <w:fldChar w:fldCharType="separate"/>
        </w:r>
        <w:r w:rsidR="001569C5">
          <w:rPr>
            <w:rFonts w:ascii="宋体" w:hAnsi="宋体"/>
            <w:noProof/>
            <w:color w:val="000000" w:themeColor="text1"/>
            <w:sz w:val="24"/>
          </w:rPr>
          <w:t>3</w:t>
        </w:r>
        <w:r>
          <w:rPr>
            <w:rFonts w:ascii="宋体" w:hAnsi="宋体" w:hint="eastAsia"/>
            <w:noProof/>
            <w:color w:val="000000" w:themeColor="text1"/>
            <w:sz w:val="24"/>
          </w:rPr>
          <w:fldChar w:fldCharType="end"/>
        </w:r>
      </w:hyperlink>
    </w:p>
    <w:p w14:paraId="6FB991AA" w14:textId="3769A895" w:rsidR="00DF5F45" w:rsidRDefault="00043999">
      <w:pPr>
        <w:pStyle w:val="21"/>
        <w:tabs>
          <w:tab w:val="right" w:leader="dot" w:pos="8494"/>
        </w:tabs>
        <w:spacing w:line="360" w:lineRule="auto"/>
        <w:rPr>
          <w:rFonts w:ascii="宋体" w:hAnsi="宋体"/>
          <w:noProof/>
          <w:color w:val="000000" w:themeColor="text1"/>
          <w:sz w:val="24"/>
        </w:rPr>
      </w:pPr>
      <w:hyperlink w:anchor="_Toc124325886" w:history="1">
        <w:r w:rsidR="00153BE1">
          <w:rPr>
            <w:rStyle w:val="af"/>
            <w:rFonts w:ascii="宋体" w:hAnsi="宋体" w:hint="eastAsia"/>
            <w:noProof/>
            <w:color w:val="000000" w:themeColor="text1"/>
            <w:sz w:val="24"/>
            <w:szCs w:val="32"/>
          </w:rPr>
          <w:t>二、基金托管协议的依据、目的和原则</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_Toc124325886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4</w:t>
        </w:r>
        <w:r w:rsidR="00153BE1">
          <w:rPr>
            <w:rFonts w:ascii="宋体" w:hAnsi="宋体" w:hint="eastAsia"/>
            <w:noProof/>
            <w:color w:val="000000" w:themeColor="text1"/>
            <w:sz w:val="24"/>
          </w:rPr>
          <w:fldChar w:fldCharType="end"/>
        </w:r>
      </w:hyperlink>
    </w:p>
    <w:p w14:paraId="3D1621DE" w14:textId="14FACA70" w:rsidR="00DF5F45" w:rsidRDefault="00043999">
      <w:pPr>
        <w:pStyle w:val="21"/>
        <w:tabs>
          <w:tab w:val="right" w:leader="dot" w:pos="8494"/>
        </w:tabs>
        <w:spacing w:line="360" w:lineRule="auto"/>
        <w:rPr>
          <w:rFonts w:ascii="宋体" w:hAnsi="宋体"/>
          <w:noProof/>
          <w:color w:val="000000" w:themeColor="text1"/>
          <w:sz w:val="24"/>
        </w:rPr>
      </w:pPr>
      <w:hyperlink w:anchor="_Toc124325887" w:history="1">
        <w:r w:rsidR="00153BE1">
          <w:rPr>
            <w:rStyle w:val="af"/>
            <w:rFonts w:ascii="宋体" w:hAnsi="宋体" w:hint="eastAsia"/>
            <w:noProof/>
            <w:color w:val="000000" w:themeColor="text1"/>
            <w:sz w:val="24"/>
            <w:szCs w:val="32"/>
          </w:rPr>
          <w:t>三、基金托管人对基金管理人的业务监督和核查</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_Toc124325887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5</w:t>
        </w:r>
        <w:r w:rsidR="00153BE1">
          <w:rPr>
            <w:rFonts w:ascii="宋体" w:hAnsi="宋体" w:hint="eastAsia"/>
            <w:noProof/>
            <w:color w:val="000000" w:themeColor="text1"/>
            <w:sz w:val="24"/>
          </w:rPr>
          <w:fldChar w:fldCharType="end"/>
        </w:r>
      </w:hyperlink>
    </w:p>
    <w:p w14:paraId="151E05E9" w14:textId="1F1D8619" w:rsidR="00DF5F45" w:rsidRDefault="00043999">
      <w:pPr>
        <w:pStyle w:val="21"/>
        <w:tabs>
          <w:tab w:val="right" w:leader="dot" w:pos="8494"/>
        </w:tabs>
        <w:spacing w:line="360" w:lineRule="auto"/>
        <w:rPr>
          <w:rFonts w:ascii="宋体" w:hAnsi="宋体"/>
          <w:noProof/>
          <w:color w:val="000000" w:themeColor="text1"/>
          <w:sz w:val="24"/>
        </w:rPr>
      </w:pPr>
      <w:hyperlink w:anchor="_Toc124325888" w:history="1">
        <w:r w:rsidR="00153BE1">
          <w:rPr>
            <w:rStyle w:val="af"/>
            <w:rFonts w:ascii="宋体" w:hAnsi="宋体" w:hint="eastAsia"/>
            <w:noProof/>
            <w:color w:val="000000" w:themeColor="text1"/>
            <w:sz w:val="24"/>
            <w:szCs w:val="32"/>
          </w:rPr>
          <w:t>四、基金管理人对基金托管人的业务核查</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_Toc124325888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11</w:t>
        </w:r>
        <w:r w:rsidR="00153BE1">
          <w:rPr>
            <w:rFonts w:ascii="宋体" w:hAnsi="宋体" w:hint="eastAsia"/>
            <w:noProof/>
            <w:color w:val="000000" w:themeColor="text1"/>
            <w:sz w:val="24"/>
          </w:rPr>
          <w:fldChar w:fldCharType="end"/>
        </w:r>
      </w:hyperlink>
    </w:p>
    <w:p w14:paraId="3BD58154" w14:textId="26267BCB" w:rsidR="00DF5F45" w:rsidRDefault="00043999">
      <w:pPr>
        <w:pStyle w:val="21"/>
        <w:tabs>
          <w:tab w:val="right" w:leader="dot" w:pos="8494"/>
        </w:tabs>
        <w:spacing w:line="360" w:lineRule="auto"/>
        <w:rPr>
          <w:rFonts w:ascii="宋体" w:hAnsi="宋体"/>
          <w:noProof/>
          <w:color w:val="000000" w:themeColor="text1"/>
          <w:sz w:val="24"/>
        </w:rPr>
      </w:pPr>
      <w:hyperlink w:anchor="_Toc124325889" w:history="1">
        <w:r w:rsidR="00153BE1">
          <w:rPr>
            <w:rStyle w:val="af"/>
            <w:rFonts w:ascii="宋体" w:hAnsi="宋体" w:hint="eastAsia"/>
            <w:noProof/>
            <w:color w:val="000000" w:themeColor="text1"/>
            <w:sz w:val="24"/>
            <w:szCs w:val="32"/>
          </w:rPr>
          <w:t>五、基金财产的保管</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_Toc124325889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11</w:t>
        </w:r>
        <w:r w:rsidR="00153BE1">
          <w:rPr>
            <w:rFonts w:ascii="宋体" w:hAnsi="宋体" w:hint="eastAsia"/>
            <w:noProof/>
            <w:color w:val="000000" w:themeColor="text1"/>
            <w:sz w:val="24"/>
          </w:rPr>
          <w:fldChar w:fldCharType="end"/>
        </w:r>
      </w:hyperlink>
    </w:p>
    <w:p w14:paraId="08CF4A83" w14:textId="12AD31CC" w:rsidR="00DF5F45" w:rsidRDefault="00043999">
      <w:pPr>
        <w:pStyle w:val="21"/>
        <w:tabs>
          <w:tab w:val="right" w:leader="dot" w:pos="8494"/>
        </w:tabs>
        <w:spacing w:line="360" w:lineRule="auto"/>
        <w:rPr>
          <w:rFonts w:ascii="宋体" w:hAnsi="宋体"/>
          <w:noProof/>
          <w:color w:val="000000" w:themeColor="text1"/>
          <w:sz w:val="24"/>
        </w:rPr>
      </w:pPr>
      <w:hyperlink w:anchor="_Toc124325890" w:history="1">
        <w:r w:rsidR="00153BE1">
          <w:rPr>
            <w:rStyle w:val="af"/>
            <w:rFonts w:ascii="宋体" w:hAnsi="宋体" w:hint="eastAsia"/>
            <w:noProof/>
            <w:color w:val="000000" w:themeColor="text1"/>
            <w:sz w:val="24"/>
            <w:szCs w:val="32"/>
          </w:rPr>
          <w:t>六、指令的发送、确认及执行</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_Toc124325890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15</w:t>
        </w:r>
        <w:r w:rsidR="00153BE1">
          <w:rPr>
            <w:rFonts w:ascii="宋体" w:hAnsi="宋体" w:hint="eastAsia"/>
            <w:noProof/>
            <w:color w:val="000000" w:themeColor="text1"/>
            <w:sz w:val="24"/>
          </w:rPr>
          <w:fldChar w:fldCharType="end"/>
        </w:r>
      </w:hyperlink>
    </w:p>
    <w:p w14:paraId="136A32A6" w14:textId="064B6F65" w:rsidR="00DF5F45" w:rsidRDefault="00043999">
      <w:pPr>
        <w:pStyle w:val="21"/>
        <w:tabs>
          <w:tab w:val="right" w:leader="dot" w:pos="8494"/>
        </w:tabs>
        <w:spacing w:line="360" w:lineRule="auto"/>
        <w:rPr>
          <w:rFonts w:ascii="宋体" w:hAnsi="宋体"/>
          <w:noProof/>
          <w:color w:val="000000" w:themeColor="text1"/>
          <w:sz w:val="24"/>
        </w:rPr>
      </w:pPr>
      <w:hyperlink w:anchor="_Toc124325891" w:history="1">
        <w:r w:rsidR="00153BE1">
          <w:rPr>
            <w:rStyle w:val="af"/>
            <w:rFonts w:ascii="宋体" w:hAnsi="宋体" w:hint="eastAsia"/>
            <w:noProof/>
            <w:color w:val="000000" w:themeColor="text1"/>
            <w:sz w:val="24"/>
            <w:szCs w:val="32"/>
          </w:rPr>
          <w:t>七、交易及清算交收安排</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_Toc124325891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17</w:t>
        </w:r>
        <w:r w:rsidR="00153BE1">
          <w:rPr>
            <w:rFonts w:ascii="宋体" w:hAnsi="宋体" w:hint="eastAsia"/>
            <w:noProof/>
            <w:color w:val="000000" w:themeColor="text1"/>
            <w:sz w:val="24"/>
          </w:rPr>
          <w:fldChar w:fldCharType="end"/>
        </w:r>
      </w:hyperlink>
    </w:p>
    <w:p w14:paraId="6C25C07A" w14:textId="0179B144" w:rsidR="00DF5F45" w:rsidRDefault="00043999">
      <w:pPr>
        <w:pStyle w:val="21"/>
        <w:tabs>
          <w:tab w:val="right" w:leader="dot" w:pos="8494"/>
        </w:tabs>
        <w:spacing w:line="360" w:lineRule="auto"/>
        <w:rPr>
          <w:rFonts w:ascii="宋体" w:hAnsi="宋体"/>
          <w:noProof/>
          <w:color w:val="000000" w:themeColor="text1"/>
          <w:sz w:val="24"/>
        </w:rPr>
      </w:pPr>
      <w:hyperlink w:anchor="_Toc124325892" w:history="1">
        <w:r w:rsidR="00153BE1">
          <w:rPr>
            <w:rStyle w:val="af"/>
            <w:rFonts w:ascii="宋体" w:hAnsi="宋体" w:hint="eastAsia"/>
            <w:noProof/>
            <w:color w:val="000000" w:themeColor="text1"/>
            <w:sz w:val="24"/>
            <w:szCs w:val="32"/>
          </w:rPr>
          <w:t>八、基金资产净值计算和会计核算</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_Toc124325892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23</w:t>
        </w:r>
        <w:r w:rsidR="00153BE1">
          <w:rPr>
            <w:rFonts w:ascii="宋体" w:hAnsi="宋体" w:hint="eastAsia"/>
            <w:noProof/>
            <w:color w:val="000000" w:themeColor="text1"/>
            <w:sz w:val="24"/>
          </w:rPr>
          <w:fldChar w:fldCharType="end"/>
        </w:r>
      </w:hyperlink>
    </w:p>
    <w:p w14:paraId="7F55EEAB" w14:textId="2C9A6B90" w:rsidR="00DF5F45" w:rsidRDefault="00043999">
      <w:pPr>
        <w:pStyle w:val="21"/>
        <w:tabs>
          <w:tab w:val="right" w:leader="dot" w:pos="8494"/>
        </w:tabs>
        <w:spacing w:line="360" w:lineRule="auto"/>
        <w:rPr>
          <w:rFonts w:ascii="宋体" w:hAnsi="宋体"/>
          <w:noProof/>
          <w:color w:val="000000" w:themeColor="text1"/>
          <w:sz w:val="24"/>
        </w:rPr>
      </w:pPr>
      <w:hyperlink w:anchor="_Toc124325893" w:history="1">
        <w:r w:rsidR="00153BE1">
          <w:rPr>
            <w:rStyle w:val="af"/>
            <w:rFonts w:ascii="宋体" w:hAnsi="宋体" w:hint="eastAsia"/>
            <w:noProof/>
            <w:color w:val="000000" w:themeColor="text1"/>
            <w:sz w:val="24"/>
            <w:szCs w:val="32"/>
          </w:rPr>
          <w:t>九、基金收益分配</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_Toc124325893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29</w:t>
        </w:r>
        <w:r w:rsidR="00153BE1">
          <w:rPr>
            <w:rFonts w:ascii="宋体" w:hAnsi="宋体" w:hint="eastAsia"/>
            <w:noProof/>
            <w:color w:val="000000" w:themeColor="text1"/>
            <w:sz w:val="24"/>
          </w:rPr>
          <w:fldChar w:fldCharType="end"/>
        </w:r>
      </w:hyperlink>
    </w:p>
    <w:p w14:paraId="1EB21B1F" w14:textId="3D5A4780" w:rsidR="00DF5F45" w:rsidRDefault="00043999">
      <w:pPr>
        <w:pStyle w:val="21"/>
        <w:tabs>
          <w:tab w:val="right" w:leader="dot" w:pos="8494"/>
        </w:tabs>
        <w:spacing w:line="360" w:lineRule="auto"/>
        <w:rPr>
          <w:rFonts w:ascii="宋体" w:hAnsi="宋体"/>
          <w:noProof/>
          <w:color w:val="000000" w:themeColor="text1"/>
          <w:sz w:val="24"/>
        </w:rPr>
      </w:pPr>
      <w:hyperlink w:anchor="_Toc124325894" w:history="1">
        <w:r w:rsidR="00153BE1">
          <w:rPr>
            <w:rStyle w:val="af"/>
            <w:rFonts w:ascii="宋体" w:hAnsi="宋体" w:hint="eastAsia"/>
            <w:noProof/>
            <w:color w:val="000000" w:themeColor="text1"/>
            <w:sz w:val="24"/>
            <w:szCs w:val="32"/>
          </w:rPr>
          <w:t>十、基金信息披露</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_Toc124325894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30</w:t>
        </w:r>
        <w:r w:rsidR="00153BE1">
          <w:rPr>
            <w:rFonts w:ascii="宋体" w:hAnsi="宋体" w:hint="eastAsia"/>
            <w:noProof/>
            <w:color w:val="000000" w:themeColor="text1"/>
            <w:sz w:val="24"/>
          </w:rPr>
          <w:fldChar w:fldCharType="end"/>
        </w:r>
      </w:hyperlink>
    </w:p>
    <w:p w14:paraId="31C737A0" w14:textId="7F6BBE34" w:rsidR="00DF5F45" w:rsidRDefault="00043999">
      <w:pPr>
        <w:pStyle w:val="21"/>
        <w:tabs>
          <w:tab w:val="right" w:leader="dot" w:pos="8494"/>
        </w:tabs>
        <w:spacing w:line="360" w:lineRule="auto"/>
        <w:rPr>
          <w:rFonts w:ascii="宋体" w:hAnsi="宋体"/>
          <w:noProof/>
          <w:color w:val="000000" w:themeColor="text1"/>
          <w:sz w:val="24"/>
        </w:rPr>
      </w:pPr>
      <w:hyperlink w:anchor="_Toc124325895" w:history="1">
        <w:r w:rsidR="00153BE1">
          <w:rPr>
            <w:rStyle w:val="af"/>
            <w:rFonts w:ascii="宋体" w:hAnsi="宋体" w:hint="eastAsia"/>
            <w:noProof/>
            <w:color w:val="000000" w:themeColor="text1"/>
            <w:sz w:val="24"/>
            <w:szCs w:val="32"/>
          </w:rPr>
          <w:t>十一、基金费用</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_Toc124325895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32</w:t>
        </w:r>
        <w:r w:rsidR="00153BE1">
          <w:rPr>
            <w:rFonts w:ascii="宋体" w:hAnsi="宋体" w:hint="eastAsia"/>
            <w:noProof/>
            <w:color w:val="000000" w:themeColor="text1"/>
            <w:sz w:val="24"/>
          </w:rPr>
          <w:fldChar w:fldCharType="end"/>
        </w:r>
      </w:hyperlink>
    </w:p>
    <w:p w14:paraId="42ADB3EA" w14:textId="496CEDFF" w:rsidR="00DF5F45" w:rsidRDefault="00043999">
      <w:pPr>
        <w:pStyle w:val="21"/>
        <w:tabs>
          <w:tab w:val="right" w:leader="dot" w:pos="8494"/>
        </w:tabs>
        <w:spacing w:line="360" w:lineRule="auto"/>
        <w:rPr>
          <w:rFonts w:ascii="宋体" w:hAnsi="宋体"/>
          <w:noProof/>
          <w:color w:val="000000" w:themeColor="text1"/>
          <w:sz w:val="24"/>
        </w:rPr>
      </w:pPr>
      <w:hyperlink w:anchor="_Toc124325896" w:history="1">
        <w:r w:rsidR="00153BE1">
          <w:rPr>
            <w:rStyle w:val="af"/>
            <w:rFonts w:ascii="宋体" w:hAnsi="宋体" w:hint="eastAsia"/>
            <w:noProof/>
            <w:color w:val="000000" w:themeColor="text1"/>
            <w:sz w:val="24"/>
            <w:szCs w:val="32"/>
          </w:rPr>
          <w:t>十二、基金份额持有人名册的保管</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_Toc124325896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35</w:t>
        </w:r>
        <w:r w:rsidR="00153BE1">
          <w:rPr>
            <w:rFonts w:ascii="宋体" w:hAnsi="宋体" w:hint="eastAsia"/>
            <w:noProof/>
            <w:color w:val="000000" w:themeColor="text1"/>
            <w:sz w:val="24"/>
          </w:rPr>
          <w:fldChar w:fldCharType="end"/>
        </w:r>
      </w:hyperlink>
    </w:p>
    <w:p w14:paraId="1CDBFA17" w14:textId="39326C51" w:rsidR="00DF5F45" w:rsidRDefault="00043999">
      <w:pPr>
        <w:pStyle w:val="21"/>
        <w:tabs>
          <w:tab w:val="right" w:leader="dot" w:pos="8494"/>
        </w:tabs>
        <w:spacing w:line="360" w:lineRule="auto"/>
        <w:rPr>
          <w:rFonts w:ascii="宋体" w:hAnsi="宋体"/>
          <w:noProof/>
          <w:color w:val="000000" w:themeColor="text1"/>
          <w:sz w:val="24"/>
        </w:rPr>
      </w:pPr>
      <w:hyperlink w:anchor="_Toc124325897" w:history="1">
        <w:r w:rsidR="00153BE1">
          <w:rPr>
            <w:rStyle w:val="af"/>
            <w:rFonts w:ascii="宋体" w:hAnsi="宋体" w:hint="eastAsia"/>
            <w:noProof/>
            <w:color w:val="000000" w:themeColor="text1"/>
            <w:sz w:val="24"/>
            <w:szCs w:val="32"/>
          </w:rPr>
          <w:t>十三、基金有关文件档案的保存</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_Toc124325897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35</w:t>
        </w:r>
        <w:r w:rsidR="00153BE1">
          <w:rPr>
            <w:rFonts w:ascii="宋体" w:hAnsi="宋体" w:hint="eastAsia"/>
            <w:noProof/>
            <w:color w:val="000000" w:themeColor="text1"/>
            <w:sz w:val="24"/>
          </w:rPr>
          <w:fldChar w:fldCharType="end"/>
        </w:r>
      </w:hyperlink>
    </w:p>
    <w:p w14:paraId="3E161547" w14:textId="07825A42" w:rsidR="00DF5F45" w:rsidRDefault="00043999">
      <w:pPr>
        <w:pStyle w:val="21"/>
        <w:tabs>
          <w:tab w:val="right" w:leader="dot" w:pos="8494"/>
        </w:tabs>
        <w:spacing w:line="360" w:lineRule="auto"/>
        <w:rPr>
          <w:rFonts w:ascii="宋体" w:hAnsi="宋体"/>
          <w:noProof/>
          <w:color w:val="000000" w:themeColor="text1"/>
          <w:sz w:val="24"/>
        </w:rPr>
      </w:pPr>
      <w:hyperlink w:anchor="_Toc124325898" w:history="1">
        <w:r w:rsidR="00153BE1">
          <w:rPr>
            <w:rStyle w:val="af"/>
            <w:rFonts w:ascii="宋体" w:hAnsi="宋体" w:hint="eastAsia"/>
            <w:noProof/>
            <w:color w:val="000000" w:themeColor="text1"/>
            <w:sz w:val="24"/>
            <w:szCs w:val="32"/>
          </w:rPr>
          <w:t>十四、基金管理人和基金托管人的更换</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_Toc124325898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36</w:t>
        </w:r>
        <w:r w:rsidR="00153BE1">
          <w:rPr>
            <w:rFonts w:ascii="宋体" w:hAnsi="宋体" w:hint="eastAsia"/>
            <w:noProof/>
            <w:color w:val="000000" w:themeColor="text1"/>
            <w:sz w:val="24"/>
          </w:rPr>
          <w:fldChar w:fldCharType="end"/>
        </w:r>
      </w:hyperlink>
    </w:p>
    <w:p w14:paraId="703B2539" w14:textId="5F8D46E5" w:rsidR="00DF5F45" w:rsidRDefault="00043999">
      <w:pPr>
        <w:pStyle w:val="21"/>
        <w:tabs>
          <w:tab w:val="right" w:leader="dot" w:pos="8494"/>
        </w:tabs>
        <w:spacing w:line="360" w:lineRule="auto"/>
        <w:rPr>
          <w:rFonts w:ascii="宋体" w:hAnsi="宋体"/>
          <w:noProof/>
          <w:color w:val="000000" w:themeColor="text1"/>
          <w:sz w:val="24"/>
        </w:rPr>
      </w:pPr>
      <w:hyperlink w:anchor="_Toc124325899" w:history="1">
        <w:r w:rsidR="00153BE1">
          <w:rPr>
            <w:rStyle w:val="af"/>
            <w:rFonts w:ascii="宋体" w:hAnsi="宋体" w:hint="eastAsia"/>
            <w:noProof/>
            <w:color w:val="000000" w:themeColor="text1"/>
            <w:sz w:val="24"/>
            <w:szCs w:val="32"/>
          </w:rPr>
          <w:t>十五、禁止行为</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_Toc124325899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38</w:t>
        </w:r>
        <w:r w:rsidR="00153BE1">
          <w:rPr>
            <w:rFonts w:ascii="宋体" w:hAnsi="宋体" w:hint="eastAsia"/>
            <w:noProof/>
            <w:color w:val="000000" w:themeColor="text1"/>
            <w:sz w:val="24"/>
          </w:rPr>
          <w:fldChar w:fldCharType="end"/>
        </w:r>
      </w:hyperlink>
    </w:p>
    <w:p w14:paraId="280FF325" w14:textId="64B6E8E2" w:rsidR="00DF5F45" w:rsidRDefault="00043999">
      <w:pPr>
        <w:pStyle w:val="21"/>
        <w:tabs>
          <w:tab w:val="right" w:leader="dot" w:pos="8494"/>
        </w:tabs>
        <w:spacing w:line="360" w:lineRule="auto"/>
        <w:rPr>
          <w:rFonts w:ascii="宋体" w:hAnsi="宋体"/>
          <w:noProof/>
          <w:color w:val="000000" w:themeColor="text1"/>
          <w:sz w:val="24"/>
        </w:rPr>
      </w:pPr>
      <w:hyperlink w:anchor="_Toc124325900" w:history="1">
        <w:r w:rsidR="00153BE1">
          <w:rPr>
            <w:rStyle w:val="af"/>
            <w:rFonts w:ascii="宋体" w:hAnsi="宋体" w:hint="eastAsia"/>
            <w:noProof/>
            <w:color w:val="000000" w:themeColor="text1"/>
            <w:sz w:val="24"/>
            <w:szCs w:val="32"/>
          </w:rPr>
          <w:t>十六、托管协议的变更、终止与基金财产的清算</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_Toc124325900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39</w:t>
        </w:r>
        <w:r w:rsidR="00153BE1">
          <w:rPr>
            <w:rFonts w:ascii="宋体" w:hAnsi="宋体" w:hint="eastAsia"/>
            <w:noProof/>
            <w:color w:val="000000" w:themeColor="text1"/>
            <w:sz w:val="24"/>
          </w:rPr>
          <w:fldChar w:fldCharType="end"/>
        </w:r>
      </w:hyperlink>
    </w:p>
    <w:p w14:paraId="06EF9A9A" w14:textId="50FB40A7" w:rsidR="00DF5F45" w:rsidRDefault="00043999">
      <w:pPr>
        <w:pStyle w:val="21"/>
        <w:tabs>
          <w:tab w:val="right" w:leader="dot" w:pos="8494"/>
        </w:tabs>
        <w:spacing w:line="360" w:lineRule="auto"/>
        <w:rPr>
          <w:rFonts w:ascii="宋体" w:hAnsi="宋体"/>
          <w:noProof/>
          <w:color w:val="000000" w:themeColor="text1"/>
          <w:sz w:val="24"/>
        </w:rPr>
      </w:pPr>
      <w:hyperlink w:anchor="_Toc124325901" w:history="1">
        <w:r w:rsidR="00153BE1">
          <w:rPr>
            <w:rStyle w:val="af"/>
            <w:rFonts w:ascii="宋体" w:hAnsi="宋体" w:hint="eastAsia"/>
            <w:noProof/>
            <w:color w:val="000000" w:themeColor="text1"/>
            <w:sz w:val="24"/>
            <w:szCs w:val="32"/>
          </w:rPr>
          <w:t>十七、违约责任</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_Toc124325901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41</w:t>
        </w:r>
        <w:r w:rsidR="00153BE1">
          <w:rPr>
            <w:rFonts w:ascii="宋体" w:hAnsi="宋体" w:hint="eastAsia"/>
            <w:noProof/>
            <w:color w:val="000000" w:themeColor="text1"/>
            <w:sz w:val="24"/>
          </w:rPr>
          <w:fldChar w:fldCharType="end"/>
        </w:r>
      </w:hyperlink>
    </w:p>
    <w:p w14:paraId="310AB65A" w14:textId="041F7CA3" w:rsidR="00DF5F45" w:rsidRDefault="00043999">
      <w:pPr>
        <w:pStyle w:val="21"/>
        <w:tabs>
          <w:tab w:val="right" w:leader="dot" w:pos="8494"/>
        </w:tabs>
        <w:spacing w:line="360" w:lineRule="auto"/>
        <w:rPr>
          <w:rFonts w:ascii="宋体" w:hAnsi="宋体"/>
          <w:noProof/>
          <w:color w:val="000000" w:themeColor="text1"/>
          <w:sz w:val="24"/>
        </w:rPr>
      </w:pPr>
      <w:hyperlink w:anchor="_Toc124325902" w:history="1">
        <w:r w:rsidR="00153BE1">
          <w:rPr>
            <w:rStyle w:val="af"/>
            <w:rFonts w:ascii="宋体" w:hAnsi="宋体" w:hint="eastAsia"/>
            <w:noProof/>
            <w:color w:val="000000" w:themeColor="text1"/>
            <w:sz w:val="24"/>
            <w:szCs w:val="32"/>
          </w:rPr>
          <w:t>十八、争议解决方式</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_Toc124325902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42</w:t>
        </w:r>
        <w:r w:rsidR="00153BE1">
          <w:rPr>
            <w:rFonts w:ascii="宋体" w:hAnsi="宋体" w:hint="eastAsia"/>
            <w:noProof/>
            <w:color w:val="000000" w:themeColor="text1"/>
            <w:sz w:val="24"/>
          </w:rPr>
          <w:fldChar w:fldCharType="end"/>
        </w:r>
      </w:hyperlink>
    </w:p>
    <w:p w14:paraId="03025B36" w14:textId="23D3CC23" w:rsidR="00DF5F45" w:rsidRDefault="00043999">
      <w:pPr>
        <w:pStyle w:val="21"/>
        <w:tabs>
          <w:tab w:val="right" w:leader="dot" w:pos="8494"/>
        </w:tabs>
        <w:spacing w:line="360" w:lineRule="auto"/>
        <w:rPr>
          <w:rFonts w:ascii="宋体" w:hAnsi="宋体"/>
          <w:noProof/>
          <w:color w:val="000000" w:themeColor="text1"/>
          <w:sz w:val="24"/>
        </w:rPr>
      </w:pPr>
      <w:hyperlink w:anchor="_Toc124325903" w:history="1">
        <w:r w:rsidR="00153BE1">
          <w:rPr>
            <w:rStyle w:val="af"/>
            <w:rFonts w:ascii="宋体" w:hAnsi="宋体" w:hint="eastAsia"/>
            <w:noProof/>
            <w:color w:val="000000" w:themeColor="text1"/>
            <w:sz w:val="24"/>
            <w:szCs w:val="32"/>
          </w:rPr>
          <w:t>十九、托管协议的效力</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_Toc124325903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42</w:t>
        </w:r>
        <w:r w:rsidR="00153BE1">
          <w:rPr>
            <w:rFonts w:ascii="宋体" w:hAnsi="宋体" w:hint="eastAsia"/>
            <w:noProof/>
            <w:color w:val="000000" w:themeColor="text1"/>
            <w:sz w:val="24"/>
          </w:rPr>
          <w:fldChar w:fldCharType="end"/>
        </w:r>
      </w:hyperlink>
    </w:p>
    <w:p w14:paraId="0C71E928" w14:textId="2C6BCB9E" w:rsidR="00DF5F45" w:rsidRDefault="00043999">
      <w:pPr>
        <w:pStyle w:val="21"/>
        <w:tabs>
          <w:tab w:val="right" w:leader="dot" w:pos="8494"/>
        </w:tabs>
        <w:spacing w:line="360" w:lineRule="auto"/>
        <w:rPr>
          <w:rFonts w:ascii="宋体" w:hAnsi="宋体"/>
          <w:noProof/>
          <w:color w:val="000000" w:themeColor="text1"/>
          <w:sz w:val="24"/>
        </w:rPr>
      </w:pPr>
      <w:hyperlink w:anchor="_Toc124325904" w:history="1">
        <w:r w:rsidR="00153BE1">
          <w:rPr>
            <w:rStyle w:val="af"/>
            <w:rFonts w:ascii="宋体" w:hAnsi="宋体" w:hint="eastAsia"/>
            <w:noProof/>
            <w:color w:val="000000" w:themeColor="text1"/>
            <w:sz w:val="24"/>
            <w:szCs w:val="32"/>
          </w:rPr>
          <w:t>二十、其他事项</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_Toc124325904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43</w:t>
        </w:r>
        <w:r w:rsidR="00153BE1">
          <w:rPr>
            <w:rFonts w:ascii="宋体" w:hAnsi="宋体" w:hint="eastAsia"/>
            <w:noProof/>
            <w:color w:val="000000" w:themeColor="text1"/>
            <w:sz w:val="24"/>
          </w:rPr>
          <w:fldChar w:fldCharType="end"/>
        </w:r>
      </w:hyperlink>
    </w:p>
    <w:p w14:paraId="090A6267" w14:textId="73EB58F4" w:rsidR="00DF5F45" w:rsidRDefault="00043999">
      <w:pPr>
        <w:pStyle w:val="21"/>
        <w:tabs>
          <w:tab w:val="right" w:leader="dot" w:pos="8494"/>
        </w:tabs>
        <w:spacing w:line="360" w:lineRule="auto"/>
        <w:rPr>
          <w:rFonts w:ascii="宋体" w:hAnsi="宋体"/>
          <w:noProof/>
          <w:color w:val="000000" w:themeColor="text1"/>
          <w:sz w:val="24"/>
        </w:rPr>
      </w:pPr>
      <w:hyperlink w:anchor="_Toc124325905" w:history="1">
        <w:r w:rsidR="00153BE1">
          <w:rPr>
            <w:rStyle w:val="af"/>
            <w:rFonts w:ascii="宋体" w:hAnsi="宋体" w:hint="eastAsia"/>
            <w:noProof/>
            <w:color w:val="000000" w:themeColor="text1"/>
            <w:sz w:val="24"/>
            <w:szCs w:val="32"/>
          </w:rPr>
          <w:t>二十一、托管协议的签订</w:t>
        </w:r>
        <w:r w:rsidR="00153BE1">
          <w:rPr>
            <w:rFonts w:ascii="宋体" w:hAnsi="宋体" w:hint="eastAsia"/>
            <w:noProof/>
            <w:color w:val="000000" w:themeColor="text1"/>
            <w:sz w:val="24"/>
          </w:rPr>
          <w:tab/>
        </w:r>
        <w:r w:rsidR="00153BE1">
          <w:rPr>
            <w:rFonts w:ascii="宋体" w:hAnsi="宋体" w:hint="eastAsia"/>
            <w:noProof/>
            <w:color w:val="000000" w:themeColor="text1"/>
            <w:sz w:val="24"/>
          </w:rPr>
          <w:fldChar w:fldCharType="begin"/>
        </w:r>
        <w:r w:rsidR="00153BE1">
          <w:rPr>
            <w:rFonts w:ascii="宋体" w:hAnsi="宋体" w:hint="eastAsia"/>
            <w:noProof/>
            <w:color w:val="000000" w:themeColor="text1"/>
            <w:sz w:val="24"/>
          </w:rPr>
          <w:instrText xml:space="preserve"> PAGEREF _Toc124325905 \h </w:instrText>
        </w:r>
        <w:r w:rsidR="00153BE1">
          <w:rPr>
            <w:rFonts w:ascii="宋体" w:hAnsi="宋体" w:hint="eastAsia"/>
            <w:noProof/>
            <w:color w:val="000000" w:themeColor="text1"/>
            <w:sz w:val="24"/>
          </w:rPr>
        </w:r>
        <w:r w:rsidR="00153BE1">
          <w:rPr>
            <w:rFonts w:ascii="宋体" w:hAnsi="宋体" w:hint="eastAsia"/>
            <w:noProof/>
            <w:color w:val="000000" w:themeColor="text1"/>
            <w:sz w:val="24"/>
          </w:rPr>
          <w:fldChar w:fldCharType="separate"/>
        </w:r>
        <w:r w:rsidR="001569C5">
          <w:rPr>
            <w:rFonts w:ascii="宋体" w:hAnsi="宋体"/>
            <w:noProof/>
            <w:color w:val="000000" w:themeColor="text1"/>
            <w:sz w:val="24"/>
          </w:rPr>
          <w:t>43</w:t>
        </w:r>
        <w:r w:rsidR="00153BE1">
          <w:rPr>
            <w:rFonts w:ascii="宋体" w:hAnsi="宋体" w:hint="eastAsia"/>
            <w:noProof/>
            <w:color w:val="000000" w:themeColor="text1"/>
            <w:sz w:val="24"/>
          </w:rPr>
          <w:fldChar w:fldCharType="end"/>
        </w:r>
      </w:hyperlink>
    </w:p>
    <w:p w14:paraId="6E6DBCBB" w14:textId="77777777" w:rsidR="00DF5F45" w:rsidRDefault="00153BE1">
      <w:pPr>
        <w:spacing w:line="360" w:lineRule="auto"/>
        <w:rPr>
          <w:rFonts w:ascii="宋体" w:hAnsi="宋体"/>
          <w:color w:val="000000" w:themeColor="text1"/>
          <w:sz w:val="24"/>
        </w:rPr>
      </w:pPr>
      <w:r>
        <w:rPr>
          <w:rFonts w:ascii="宋体" w:hAnsi="宋体" w:hint="eastAsia"/>
          <w:color w:val="000000" w:themeColor="text1"/>
          <w:sz w:val="24"/>
        </w:rPr>
        <w:fldChar w:fldCharType="end"/>
      </w:r>
    </w:p>
    <w:p w14:paraId="02EE5324" w14:textId="77777777" w:rsidR="00DF5F45" w:rsidRDefault="00153BE1">
      <w:pPr>
        <w:spacing w:line="360" w:lineRule="auto"/>
        <w:rPr>
          <w:rFonts w:ascii="宋体" w:hAnsi="宋体"/>
          <w:color w:val="000000" w:themeColor="text1"/>
          <w:sz w:val="24"/>
        </w:rPr>
      </w:pPr>
      <w:r>
        <w:rPr>
          <w:rFonts w:ascii="宋体" w:hAnsi="宋体"/>
          <w:color w:val="000000" w:themeColor="text1"/>
          <w:sz w:val="24"/>
        </w:rPr>
        <w:br w:type="page"/>
      </w:r>
    </w:p>
    <w:p w14:paraId="0BF84CBF" w14:textId="66CD9206" w:rsidR="00DF5F45" w:rsidRDefault="00153BE1">
      <w:pPr>
        <w:widowControl/>
        <w:adjustRightInd w:val="0"/>
        <w:snapToGrid w:val="0"/>
        <w:spacing w:line="360" w:lineRule="auto"/>
        <w:ind w:firstLineChars="200" w:firstLine="480"/>
        <w:rPr>
          <w:rFonts w:ascii="宋体" w:hAnsi="宋体" w:cs="Arial"/>
          <w:color w:val="000000" w:themeColor="text1"/>
          <w:kern w:val="0"/>
          <w:sz w:val="24"/>
          <w:lang w:val="en-GB"/>
        </w:rPr>
      </w:pPr>
      <w:r>
        <w:rPr>
          <w:rFonts w:ascii="宋体" w:hAnsi="宋体" w:cs="Arial" w:hint="eastAsia"/>
          <w:color w:val="000000" w:themeColor="text1"/>
          <w:kern w:val="0"/>
          <w:sz w:val="24"/>
          <w:lang w:val="en-GB"/>
        </w:rPr>
        <w:lastRenderedPageBreak/>
        <w:t>鉴于</w:t>
      </w:r>
      <w:r w:rsidR="00850743">
        <w:rPr>
          <w:rFonts w:ascii="宋体" w:hAnsi="宋体" w:cs="Arial" w:hint="eastAsia"/>
          <w:color w:val="000000" w:themeColor="text1"/>
          <w:kern w:val="0"/>
          <w:sz w:val="24"/>
          <w:lang w:val="en-GB"/>
        </w:rPr>
        <w:t>浦银基金</w:t>
      </w:r>
      <w:r>
        <w:rPr>
          <w:rFonts w:ascii="宋体" w:hAnsi="宋体" w:cs="Arial" w:hint="eastAsia"/>
          <w:color w:val="000000" w:themeColor="text1"/>
          <w:kern w:val="0"/>
          <w:sz w:val="24"/>
          <w:lang w:val="en-GB"/>
        </w:rPr>
        <w:t>管理有限公司系一家依照中国法律合法成立并有效存续的有限责任公司，按照相关法律法规的规定具备担任基金管理人的资格和能力，拟募集发行浦银新材料混合型发起式证券投资基金；</w:t>
      </w:r>
    </w:p>
    <w:p w14:paraId="4FA4E580" w14:textId="77777777" w:rsidR="00DF5F45" w:rsidRDefault="00153BE1">
      <w:pPr>
        <w:widowControl/>
        <w:adjustRightInd w:val="0"/>
        <w:snapToGrid w:val="0"/>
        <w:spacing w:line="360" w:lineRule="auto"/>
        <w:ind w:firstLineChars="200" w:firstLine="480"/>
        <w:rPr>
          <w:rFonts w:ascii="宋体" w:hAnsi="宋体" w:cs="Arial"/>
          <w:color w:val="000000" w:themeColor="text1"/>
          <w:kern w:val="0"/>
          <w:sz w:val="24"/>
          <w:lang w:val="en-GB"/>
        </w:rPr>
      </w:pPr>
      <w:r>
        <w:rPr>
          <w:rFonts w:ascii="宋体" w:hAnsi="宋体" w:cs="Arial" w:hint="eastAsia"/>
          <w:color w:val="000000" w:themeColor="text1"/>
          <w:kern w:val="0"/>
          <w:sz w:val="24"/>
          <w:lang w:val="en-GB"/>
        </w:rPr>
        <w:t>鉴于中国建设银行股份有限公司系一家依照中国法律合法成立并有效存续的银行，按照相关法律法规的规定具备担任基金托管人的资格和能力；</w:t>
      </w:r>
    </w:p>
    <w:p w14:paraId="04052D1F" w14:textId="4B90BD78" w:rsidR="00DF5F45" w:rsidRDefault="00153BE1">
      <w:pPr>
        <w:widowControl/>
        <w:adjustRightInd w:val="0"/>
        <w:snapToGrid w:val="0"/>
        <w:spacing w:line="360" w:lineRule="auto"/>
        <w:ind w:firstLineChars="200" w:firstLine="480"/>
        <w:rPr>
          <w:rFonts w:ascii="宋体" w:hAnsi="宋体" w:cs="Arial"/>
          <w:color w:val="000000" w:themeColor="text1"/>
          <w:kern w:val="0"/>
          <w:sz w:val="24"/>
          <w:lang w:val="en-GB"/>
        </w:rPr>
      </w:pPr>
      <w:r>
        <w:rPr>
          <w:rFonts w:ascii="宋体" w:hAnsi="宋体" w:cs="Arial" w:hint="eastAsia"/>
          <w:color w:val="000000" w:themeColor="text1"/>
          <w:kern w:val="0"/>
          <w:sz w:val="24"/>
          <w:lang w:val="en-GB"/>
        </w:rPr>
        <w:t>鉴于</w:t>
      </w:r>
      <w:r w:rsidR="00850743">
        <w:rPr>
          <w:rFonts w:ascii="宋体" w:hAnsi="宋体" w:cs="Arial" w:hint="eastAsia"/>
          <w:color w:val="000000" w:themeColor="text1"/>
          <w:kern w:val="0"/>
          <w:sz w:val="24"/>
          <w:lang w:val="en-GB"/>
        </w:rPr>
        <w:t>浦银基金</w:t>
      </w:r>
      <w:r>
        <w:rPr>
          <w:rFonts w:ascii="宋体" w:hAnsi="宋体" w:cs="Arial" w:hint="eastAsia"/>
          <w:color w:val="000000" w:themeColor="text1"/>
          <w:kern w:val="0"/>
          <w:sz w:val="24"/>
          <w:lang w:val="en-GB"/>
        </w:rPr>
        <w:t>管理有限公司拟担任浦银新材料混合型发起式证券投资基金的基金管理人，中国建设银行股份有限公司拟担任浦银新材料混合型发起式证券投资基金的基金托管人；</w:t>
      </w:r>
    </w:p>
    <w:p w14:paraId="55A0A958" w14:textId="0AC1755F" w:rsidR="00DF5F45" w:rsidRDefault="00153BE1">
      <w:pPr>
        <w:widowControl/>
        <w:adjustRightInd w:val="0"/>
        <w:snapToGrid w:val="0"/>
        <w:spacing w:line="360" w:lineRule="auto"/>
        <w:ind w:firstLineChars="200" w:firstLine="480"/>
        <w:rPr>
          <w:rFonts w:ascii="宋体" w:hAnsi="宋体" w:cs="Arial"/>
          <w:color w:val="000000" w:themeColor="text1"/>
          <w:kern w:val="0"/>
          <w:sz w:val="24"/>
          <w:lang w:val="en-GB"/>
        </w:rPr>
      </w:pPr>
      <w:r>
        <w:rPr>
          <w:rFonts w:ascii="宋体" w:hAnsi="宋体" w:cs="Arial" w:hint="eastAsia"/>
          <w:color w:val="000000" w:themeColor="text1"/>
          <w:kern w:val="0"/>
          <w:sz w:val="24"/>
          <w:lang w:val="en-GB"/>
        </w:rPr>
        <w:t>为明确浦银新材料混合型发起式证券投资基金（</w:t>
      </w:r>
      <w:r>
        <w:rPr>
          <w:rFonts w:ascii="宋体" w:hAnsi="宋体" w:cs="Arial" w:hint="eastAsia"/>
          <w:color w:val="000000" w:themeColor="text1"/>
          <w:kern w:val="0"/>
          <w:sz w:val="24"/>
        </w:rPr>
        <w:t>以下简称“本基金”</w:t>
      </w:r>
      <w:r>
        <w:rPr>
          <w:rFonts w:ascii="宋体" w:hAnsi="宋体" w:cs="Arial" w:hint="eastAsia"/>
          <w:color w:val="000000" w:themeColor="text1"/>
          <w:kern w:val="0"/>
          <w:sz w:val="24"/>
          <w:lang w:val="en-GB"/>
        </w:rPr>
        <w:t>）的基金管理人和基金托管人之间的权利义务关系，特制订本托管协议；</w:t>
      </w:r>
    </w:p>
    <w:p w14:paraId="0F8D7FD2" w14:textId="3AC069A5" w:rsidR="00DF5F45" w:rsidRDefault="00153BE1">
      <w:pPr>
        <w:widowControl/>
        <w:adjustRightInd w:val="0"/>
        <w:snapToGrid w:val="0"/>
        <w:spacing w:line="360" w:lineRule="auto"/>
        <w:ind w:firstLineChars="200" w:firstLine="480"/>
        <w:rPr>
          <w:rFonts w:ascii="宋体" w:hAnsi="宋体" w:cs="Arial"/>
          <w:color w:val="000000" w:themeColor="text1"/>
          <w:kern w:val="0"/>
          <w:sz w:val="24"/>
          <w:lang w:val="en-GB"/>
        </w:rPr>
      </w:pPr>
      <w:r>
        <w:rPr>
          <w:rFonts w:ascii="宋体" w:hAnsi="宋体" w:cs="Arial" w:hint="eastAsia"/>
          <w:color w:val="000000" w:themeColor="text1"/>
          <w:kern w:val="0"/>
          <w:sz w:val="24"/>
          <w:lang w:val="en-GB"/>
        </w:rPr>
        <w:t>除非另有约定，《浦银新材料混合型发起式证券投资基金基金合同》</w:t>
      </w:r>
      <w:r>
        <w:rPr>
          <w:rFonts w:ascii="宋体" w:hAnsi="宋体" w:cs="Arial"/>
          <w:color w:val="000000" w:themeColor="text1"/>
          <w:kern w:val="0"/>
          <w:sz w:val="24"/>
          <w:lang w:val="en-GB"/>
        </w:rPr>
        <w:t>(以下简称“基金合同”</w:t>
      </w:r>
      <w:r>
        <w:rPr>
          <w:rFonts w:ascii="宋体" w:hAnsi="宋体" w:cs="Arial" w:hint="eastAsia"/>
          <w:color w:val="000000" w:themeColor="text1"/>
          <w:kern w:val="0"/>
          <w:sz w:val="24"/>
          <w:lang w:val="en-GB"/>
        </w:rPr>
        <w:t>或“《基金合同》”</w:t>
      </w:r>
      <w:r>
        <w:rPr>
          <w:rFonts w:ascii="宋体" w:hAnsi="宋体" w:cs="Arial"/>
          <w:color w:val="000000" w:themeColor="text1"/>
          <w:kern w:val="0"/>
          <w:sz w:val="24"/>
          <w:lang w:val="en-GB"/>
        </w:rPr>
        <w:t>)中定义的术语在用于本托管协议时应具有相同的含义；若有抵触应以《基金合同》为准，并依其</w:t>
      </w:r>
      <w:r>
        <w:rPr>
          <w:rFonts w:ascii="宋体" w:hAnsi="宋体" w:cs="Arial" w:hint="eastAsia"/>
          <w:color w:val="000000" w:themeColor="text1"/>
          <w:kern w:val="0"/>
          <w:sz w:val="24"/>
          <w:lang w:val="en-GB"/>
        </w:rPr>
        <w:t>条款解释。</w:t>
      </w:r>
    </w:p>
    <w:p w14:paraId="426D4F84" w14:textId="77777777" w:rsidR="00DF5F45" w:rsidRDefault="00153BE1">
      <w:pPr>
        <w:widowControl/>
        <w:adjustRightInd w:val="0"/>
        <w:snapToGrid w:val="0"/>
        <w:spacing w:line="360" w:lineRule="auto"/>
        <w:ind w:firstLineChars="200" w:firstLine="480"/>
        <w:rPr>
          <w:rFonts w:ascii="宋体" w:hAnsi="宋体" w:cs="Arial"/>
          <w:color w:val="000000" w:themeColor="text1"/>
          <w:kern w:val="0"/>
          <w:sz w:val="24"/>
          <w:lang w:val="en-GB"/>
        </w:rPr>
      </w:pPr>
      <w:r>
        <w:rPr>
          <w:rFonts w:ascii="宋体" w:hAnsi="宋体" w:cs="Arial" w:hint="eastAsia"/>
          <w:color w:val="000000" w:themeColor="text1"/>
          <w:kern w:val="0"/>
          <w:sz w:val="24"/>
          <w:lang w:val="en-GB"/>
        </w:rPr>
        <w:t>若本基金实施侧袋机制的，侧袋机制实施期间的相关安排见基金合同和招募说明书的规定。</w:t>
      </w:r>
    </w:p>
    <w:p w14:paraId="76904594" w14:textId="77777777" w:rsidR="00DF5F45" w:rsidRDefault="00DF5F45">
      <w:pPr>
        <w:widowControl/>
        <w:adjustRightInd w:val="0"/>
        <w:snapToGrid w:val="0"/>
        <w:spacing w:line="360" w:lineRule="auto"/>
        <w:ind w:firstLineChars="200" w:firstLine="480"/>
        <w:rPr>
          <w:rFonts w:ascii="宋体" w:hAnsi="宋体" w:cs="Arial"/>
          <w:color w:val="000000" w:themeColor="text1"/>
          <w:kern w:val="0"/>
          <w:sz w:val="24"/>
          <w:lang w:val="en-GB"/>
        </w:rPr>
      </w:pPr>
    </w:p>
    <w:p w14:paraId="17CA3BAD" w14:textId="77777777" w:rsidR="00DF5F45" w:rsidRDefault="00153BE1">
      <w:pPr>
        <w:spacing w:line="360" w:lineRule="auto"/>
        <w:rPr>
          <w:rFonts w:ascii="宋体" w:hAnsi="宋体"/>
          <w:color w:val="000000" w:themeColor="text1"/>
          <w:sz w:val="24"/>
          <w:lang w:val="en-GB"/>
        </w:rPr>
      </w:pPr>
      <w:r>
        <w:rPr>
          <w:rFonts w:ascii="宋体" w:hAnsi="宋体"/>
          <w:color w:val="000000" w:themeColor="text1"/>
          <w:sz w:val="24"/>
          <w:lang w:val="en-GB"/>
        </w:rPr>
        <w:br w:type="page"/>
      </w:r>
    </w:p>
    <w:p w14:paraId="44600788" w14:textId="77777777" w:rsidR="00DF5F45" w:rsidRDefault="00153BE1">
      <w:pPr>
        <w:pStyle w:val="2"/>
        <w:spacing w:line="360" w:lineRule="auto"/>
        <w:jc w:val="center"/>
        <w:rPr>
          <w:rFonts w:ascii="宋体" w:eastAsia="宋体" w:hAnsi="宋体"/>
          <w:color w:val="000000" w:themeColor="text1"/>
        </w:rPr>
      </w:pPr>
      <w:bookmarkStart w:id="0" w:name="_Toc124325885"/>
      <w:r>
        <w:rPr>
          <w:rFonts w:ascii="宋体" w:eastAsia="宋体" w:hAnsi="宋体" w:hint="eastAsia"/>
          <w:color w:val="000000" w:themeColor="text1"/>
        </w:rPr>
        <w:lastRenderedPageBreak/>
        <w:t>一、基金托管协议当事人</w:t>
      </w:r>
      <w:bookmarkEnd w:id="0"/>
    </w:p>
    <w:p w14:paraId="330DC246"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（一）基金管理人</w:t>
      </w:r>
    </w:p>
    <w:p w14:paraId="31E2D76A" w14:textId="02A1B843"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名称：</w:t>
      </w:r>
      <w:r w:rsidR="00850743">
        <w:rPr>
          <w:rFonts w:ascii="宋体" w:hAnsi="宋体" w:cs="Arial" w:hint="eastAsia"/>
          <w:color w:val="000000" w:themeColor="text1"/>
          <w:sz w:val="24"/>
        </w:rPr>
        <w:t>浦银基金</w:t>
      </w:r>
      <w:r>
        <w:rPr>
          <w:rFonts w:ascii="宋体" w:hAnsi="宋体" w:cs="Arial" w:hint="eastAsia"/>
          <w:color w:val="000000" w:themeColor="text1"/>
          <w:sz w:val="24"/>
        </w:rPr>
        <w:t>管理有限公司</w:t>
      </w:r>
    </w:p>
    <w:p w14:paraId="666ECB22"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注册地址：中国（上海）自由贸易试验区滨江大道</w:t>
      </w:r>
      <w:r>
        <w:rPr>
          <w:rFonts w:ascii="宋体" w:hAnsi="宋体" w:cs="Arial"/>
          <w:color w:val="000000" w:themeColor="text1"/>
          <w:sz w:val="24"/>
        </w:rPr>
        <w:t>5189号地下1层、地上1层至地上4层、地上6层至地上7层</w:t>
      </w:r>
    </w:p>
    <w:p w14:paraId="4373B816"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办公地址：上海市浦东新区滨江大道</w:t>
      </w:r>
      <w:r>
        <w:rPr>
          <w:rFonts w:ascii="宋体" w:hAnsi="宋体" w:cs="Arial"/>
          <w:color w:val="000000" w:themeColor="text1"/>
          <w:sz w:val="24"/>
        </w:rPr>
        <w:t>5189号S2座1-7层</w:t>
      </w:r>
    </w:p>
    <w:p w14:paraId="4969EA93"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邮政编码：</w:t>
      </w:r>
      <w:r>
        <w:rPr>
          <w:rFonts w:ascii="宋体" w:hAnsi="宋体" w:cs="Arial"/>
          <w:color w:val="000000" w:themeColor="text1"/>
          <w:sz w:val="24"/>
        </w:rPr>
        <w:t>200127</w:t>
      </w:r>
    </w:p>
    <w:p w14:paraId="7F58E74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法定代表人：张健</w:t>
      </w:r>
    </w:p>
    <w:p w14:paraId="10ADCC37"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成立日期：</w:t>
      </w:r>
      <w:r>
        <w:rPr>
          <w:rFonts w:ascii="宋体" w:hAnsi="宋体" w:cs="Arial"/>
          <w:color w:val="000000" w:themeColor="text1"/>
          <w:sz w:val="24"/>
        </w:rPr>
        <w:t>2007年8月5日</w:t>
      </w:r>
    </w:p>
    <w:p w14:paraId="768014A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批准设立机关及批准设立文号：中国证监会证监基金字[2007]207号</w:t>
      </w:r>
    </w:p>
    <w:p w14:paraId="2AA506C3"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组织形式：有限责任公司</w:t>
      </w:r>
    </w:p>
    <w:p w14:paraId="1801346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注册资本：120,000万元人民币</w:t>
      </w:r>
    </w:p>
    <w:p w14:paraId="0143BA1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存续期间：持续经营</w:t>
      </w:r>
    </w:p>
    <w:p w14:paraId="1E46F56D"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经营范围：基金募集、基金销售、资产管理，境外证券投资管理和中国证监会许可的其他业务。</w:t>
      </w:r>
    </w:p>
    <w:p w14:paraId="23420DC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（二）基金托管人</w:t>
      </w:r>
    </w:p>
    <w:p w14:paraId="381631BD"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名称：中国建设银行股份有限公司</w:t>
      </w:r>
    </w:p>
    <w:p w14:paraId="467EFD9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住所：北京市西城区金融大街25号</w:t>
      </w:r>
    </w:p>
    <w:p w14:paraId="10D31E17"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办公地址：北京市西城区闹市口大街1号院1号楼</w:t>
      </w:r>
    </w:p>
    <w:p w14:paraId="0E360D7C"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邮政编码：100033</w:t>
      </w:r>
    </w:p>
    <w:p w14:paraId="4AAFF93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法定代表人：张金良</w:t>
      </w:r>
    </w:p>
    <w:p w14:paraId="5BF831B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成立日期：2004年09月17日</w:t>
      </w:r>
    </w:p>
    <w:p w14:paraId="5B97C338"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批准设立机关及批准设立文号：中国银行业监督管理委员会银监复[2004]143号</w:t>
      </w:r>
    </w:p>
    <w:p w14:paraId="68292CB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基金托管业务批准文号：中国证监会证监基字[1998</w:t>
      </w:r>
      <w:bookmarkStart w:id="1" w:name="OLE_LINK3"/>
      <w:r>
        <w:rPr>
          <w:rFonts w:ascii="宋体" w:hAnsi="宋体" w:cs="Arial" w:hint="eastAsia"/>
          <w:color w:val="000000" w:themeColor="text1"/>
          <w:sz w:val="24"/>
        </w:rPr>
        <w:t>]</w:t>
      </w:r>
      <w:bookmarkEnd w:id="1"/>
      <w:r>
        <w:rPr>
          <w:rFonts w:ascii="宋体" w:hAnsi="宋体" w:cs="Arial" w:hint="eastAsia"/>
          <w:color w:val="000000" w:themeColor="text1"/>
          <w:sz w:val="24"/>
        </w:rPr>
        <w:t>12号</w:t>
      </w:r>
    </w:p>
    <w:p w14:paraId="0EA51524"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组织形式：股份有限公司</w:t>
      </w:r>
    </w:p>
    <w:p w14:paraId="6E28C371"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注册资本：</w:t>
      </w:r>
      <w:r>
        <w:rPr>
          <w:rFonts w:ascii="宋体" w:hAnsi="宋体" w:hint="eastAsia"/>
          <w:color w:val="000000" w:themeColor="text1"/>
          <w:sz w:val="24"/>
        </w:rPr>
        <w:t>贰仟陆佰壹拾陆亿零叁拾捌万壹仟肆佰伍拾玖元整</w:t>
      </w:r>
    </w:p>
    <w:p w14:paraId="2CDEBD3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存续期间：持续经营</w:t>
      </w:r>
    </w:p>
    <w:p w14:paraId="780CAD15" w14:textId="77777777" w:rsidR="00DF5F45" w:rsidRDefault="00153BE1">
      <w:pPr>
        <w:tabs>
          <w:tab w:val="left" w:pos="540"/>
        </w:tabs>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经营范围：吸收公众存款；发放短期、中期、长期贷款；办理国内外结算；</w:t>
      </w:r>
      <w:r>
        <w:rPr>
          <w:rFonts w:ascii="宋体" w:hAnsi="宋体" w:cs="Arial" w:hint="eastAsia"/>
          <w:color w:val="000000" w:themeColor="text1"/>
          <w:sz w:val="24"/>
        </w:rPr>
        <w:lastRenderedPageBreak/>
        <w:t>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1958E5E2" w14:textId="77777777" w:rsidR="00DF5F45" w:rsidRDefault="00DF5F45">
      <w:pPr>
        <w:spacing w:line="360" w:lineRule="auto"/>
        <w:rPr>
          <w:rFonts w:ascii="宋体" w:hAnsi="宋体"/>
          <w:color w:val="000000" w:themeColor="text1"/>
          <w:sz w:val="24"/>
        </w:rPr>
      </w:pPr>
    </w:p>
    <w:p w14:paraId="0277CE45" w14:textId="77777777" w:rsidR="00DF5F45" w:rsidRDefault="00153BE1">
      <w:pPr>
        <w:pStyle w:val="2"/>
        <w:spacing w:line="360" w:lineRule="auto"/>
        <w:jc w:val="center"/>
        <w:rPr>
          <w:rFonts w:ascii="宋体" w:eastAsia="宋体" w:hAnsi="宋体"/>
          <w:color w:val="000000" w:themeColor="text1"/>
          <w:sz w:val="30"/>
        </w:rPr>
      </w:pPr>
      <w:bookmarkStart w:id="2" w:name="_Toc124325886"/>
      <w:r>
        <w:rPr>
          <w:rFonts w:ascii="宋体" w:eastAsia="宋体" w:hAnsi="宋体" w:hint="eastAsia"/>
          <w:color w:val="000000" w:themeColor="text1"/>
          <w:sz w:val="30"/>
        </w:rPr>
        <w:t>二、基金托管协议的依据、目的和原则</w:t>
      </w:r>
      <w:bookmarkEnd w:id="2"/>
    </w:p>
    <w:p w14:paraId="4930E543" w14:textId="77777777" w:rsidR="00DF5F45" w:rsidRDefault="00153BE1">
      <w:pPr>
        <w:adjustRightInd w:val="0"/>
        <w:snapToGrid w:val="0"/>
        <w:spacing w:line="360" w:lineRule="auto"/>
        <w:ind w:firstLineChars="200" w:firstLine="480"/>
        <w:rPr>
          <w:rFonts w:ascii="宋体" w:hAnsi="宋体"/>
          <w:color w:val="000000" w:themeColor="text1"/>
          <w:sz w:val="24"/>
          <w:szCs w:val="30"/>
        </w:rPr>
      </w:pPr>
      <w:r>
        <w:rPr>
          <w:rFonts w:ascii="宋体" w:hAnsi="宋体" w:cs="Arial" w:hint="eastAsia"/>
          <w:color w:val="000000" w:themeColor="text1"/>
          <w:sz w:val="24"/>
        </w:rPr>
        <w:t>（一）订立托管协议的依据</w:t>
      </w:r>
    </w:p>
    <w:p w14:paraId="73D81E0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本协议依据《中华人民共和国证券投资基金法》(以下简称“《基金法》”)</w:t>
      </w:r>
      <w:r>
        <w:rPr>
          <w:color w:val="000000" w:themeColor="text1"/>
        </w:rPr>
        <w:t xml:space="preserve"> </w:t>
      </w:r>
      <w:r>
        <w:rPr>
          <w:rFonts w:hint="eastAsia"/>
          <w:color w:val="000000" w:themeColor="text1"/>
        </w:rPr>
        <w:t>、</w:t>
      </w:r>
      <w:r>
        <w:rPr>
          <w:rFonts w:ascii="宋体" w:hAnsi="宋体" w:cs="Arial" w:hint="eastAsia"/>
          <w:color w:val="000000" w:themeColor="text1"/>
          <w:sz w:val="24"/>
        </w:rPr>
        <w:t>《公开募集证券投资基金运作管理办法》（以下简称“《运作办法》”）、《公开募集证券投资基金信息披露管理办法》（以下简称“《信息披露办法》”）、《公开募集开放式证券投资基金流动性风险管理规定》</w:t>
      </w:r>
      <w:r>
        <w:rPr>
          <w:bCs/>
          <w:color w:val="000000" w:themeColor="text1"/>
          <w:sz w:val="24"/>
        </w:rPr>
        <w:t>(</w:t>
      </w:r>
      <w:r>
        <w:rPr>
          <w:rFonts w:hint="eastAsia"/>
          <w:bCs/>
          <w:color w:val="000000" w:themeColor="text1"/>
          <w:sz w:val="24"/>
        </w:rPr>
        <w:t>以下简称“《流动性风险管理规定》”</w:t>
      </w:r>
      <w:r>
        <w:rPr>
          <w:bCs/>
          <w:color w:val="000000" w:themeColor="text1"/>
          <w:sz w:val="24"/>
        </w:rPr>
        <w:t>)</w:t>
      </w:r>
      <w:r>
        <w:rPr>
          <w:rFonts w:ascii="宋体" w:hAnsi="宋体" w:cs="Arial" w:hint="eastAsia"/>
          <w:color w:val="000000" w:themeColor="text1"/>
          <w:sz w:val="24"/>
        </w:rPr>
        <w:t>等有关法律法规、《基金合同》及其他有关规定制订。</w:t>
      </w:r>
    </w:p>
    <w:p w14:paraId="45049F2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（二）订立托管协议的目的</w:t>
      </w:r>
    </w:p>
    <w:p w14:paraId="5D596B76" w14:textId="77777777" w:rsidR="00DF5F45" w:rsidRDefault="00153BE1">
      <w:pPr>
        <w:adjustRightInd w:val="0"/>
        <w:snapToGrid w:val="0"/>
        <w:spacing w:line="360" w:lineRule="auto"/>
        <w:ind w:firstLineChars="200" w:firstLine="480"/>
        <w:rPr>
          <w:rFonts w:ascii="宋体" w:hAnsi="宋体"/>
          <w:color w:val="000000" w:themeColor="text1"/>
          <w:sz w:val="24"/>
          <w:szCs w:val="30"/>
        </w:rPr>
      </w:pPr>
      <w:r>
        <w:rPr>
          <w:rFonts w:ascii="宋体" w:hAnsi="宋体" w:cs="Arial" w:hint="eastAsia"/>
          <w:color w:val="000000" w:themeColor="text1"/>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4A7C69B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（三）订立托管协议的原则</w:t>
      </w:r>
    </w:p>
    <w:p w14:paraId="1B1D974E"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基金管理人和基金托管人本着平等自愿、诚实信用、充分保护基金份额持有人合法权益的原则，经协商一致，签</w:t>
      </w:r>
      <w:bookmarkStart w:id="3" w:name="_GoBack"/>
      <w:bookmarkEnd w:id="3"/>
      <w:r>
        <w:rPr>
          <w:rFonts w:ascii="宋体" w:hAnsi="宋体" w:cs="Arial" w:hint="eastAsia"/>
          <w:color w:val="000000" w:themeColor="text1"/>
          <w:sz w:val="24"/>
        </w:rPr>
        <w:t>订本协议。</w:t>
      </w:r>
    </w:p>
    <w:p w14:paraId="20BC685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（四）</w:t>
      </w:r>
      <w:r>
        <w:rPr>
          <w:rFonts w:ascii="宋体" w:hAnsi="宋体" w:cs="Arial"/>
          <w:color w:val="000000" w:themeColor="text1"/>
          <w:sz w:val="24"/>
        </w:rPr>
        <w:t>免责声明</w:t>
      </w:r>
    </w:p>
    <w:p w14:paraId="76FC365C"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基金托管人开展托管业务，不得承担以下职责：</w:t>
      </w:r>
    </w:p>
    <w:p w14:paraId="44BE5651"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1.承担基金财产的信用风险、市场风险等；</w:t>
      </w:r>
    </w:p>
    <w:p w14:paraId="550234AC"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2.为基金提供直接或间接、显性或隐性担保，包括承诺本金或保证收益；</w:t>
      </w:r>
    </w:p>
    <w:p w14:paraId="50AB7CC1"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3.为基金垫付资金、提供流动性支持或融资承诺等；</w:t>
      </w:r>
    </w:p>
    <w:p w14:paraId="5DDDE2E2"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4.参与投资者适当性管理；</w:t>
      </w:r>
    </w:p>
    <w:p w14:paraId="2455F216"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5.保证投资项目及交易信息真实性；</w:t>
      </w:r>
    </w:p>
    <w:p w14:paraId="103504BF"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6.保证基金资金来源的合法合规性；</w:t>
      </w:r>
    </w:p>
    <w:p w14:paraId="5D03C331"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7.对已划出托管账户以及处于基金托管人实际控制之外的资产承担保管责任；</w:t>
      </w:r>
    </w:p>
    <w:p w14:paraId="7464044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lastRenderedPageBreak/>
        <w:t>8.参与基金管理人对基金的投资决策；</w:t>
      </w:r>
    </w:p>
    <w:p w14:paraId="3C0594C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9.违规代替基金管理人向其他机构或者个人进行基金信息披露或提供相关数据信息；</w:t>
      </w:r>
    </w:p>
    <w:p w14:paraId="3D286BF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10.基金管理人未接受基金托管人的复核意见进行信息披露产生的相应责任；</w:t>
      </w:r>
    </w:p>
    <w:p w14:paraId="52C35B0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11.负责未兑付产品的资金追偿、财产保全、诉讼仲裁、债务重组和破产程序等，法律另有规定的除外；</w:t>
      </w:r>
    </w:p>
    <w:p w14:paraId="2B888D3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12.因不可抗力，以及非</w:t>
      </w:r>
      <w:r>
        <w:rPr>
          <w:rFonts w:ascii="宋体" w:hAnsi="宋体" w:cs="Arial" w:hint="eastAsia"/>
          <w:color w:val="000000" w:themeColor="text1"/>
          <w:sz w:val="24"/>
        </w:rPr>
        <w:t>基金托管人</w:t>
      </w:r>
      <w:r>
        <w:rPr>
          <w:rFonts w:ascii="宋体" w:hAnsi="宋体" w:cs="Arial"/>
          <w:color w:val="000000" w:themeColor="text1"/>
          <w:sz w:val="24"/>
        </w:rPr>
        <w:t>履职错误或过失造成的托管资产损失；</w:t>
      </w:r>
    </w:p>
    <w:p w14:paraId="21F0F8F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13.国务院金融监管部门规定的不属于基金托管人托管业务范围的其他职责。</w:t>
      </w:r>
    </w:p>
    <w:p w14:paraId="348AC609" w14:textId="77777777" w:rsidR="00DF5F45" w:rsidRDefault="00DF5F45">
      <w:pPr>
        <w:spacing w:line="360" w:lineRule="auto"/>
        <w:rPr>
          <w:rFonts w:ascii="宋体" w:hAnsi="宋体"/>
          <w:color w:val="000000" w:themeColor="text1"/>
          <w:sz w:val="24"/>
        </w:rPr>
      </w:pPr>
    </w:p>
    <w:p w14:paraId="4ADC1F9C" w14:textId="77777777" w:rsidR="00DF5F45" w:rsidRDefault="00153BE1">
      <w:pPr>
        <w:pStyle w:val="2"/>
        <w:spacing w:line="360" w:lineRule="auto"/>
        <w:jc w:val="center"/>
        <w:rPr>
          <w:rFonts w:ascii="宋体" w:eastAsia="宋体" w:hAnsi="宋体"/>
          <w:color w:val="000000" w:themeColor="text1"/>
          <w:sz w:val="30"/>
          <w:szCs w:val="24"/>
        </w:rPr>
      </w:pPr>
      <w:bookmarkStart w:id="4" w:name="_Toc124325887"/>
      <w:r>
        <w:rPr>
          <w:rFonts w:ascii="宋体" w:eastAsia="宋体" w:hAnsi="宋体" w:hint="eastAsia"/>
          <w:color w:val="000000" w:themeColor="text1"/>
          <w:sz w:val="30"/>
        </w:rPr>
        <w:t>三、基金托管人对基金管理人的业务监督和核查</w:t>
      </w:r>
      <w:bookmarkEnd w:id="4"/>
    </w:p>
    <w:p w14:paraId="79B5836D"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库提供给基金托管人，基金管理人可以根据实际情况的变化，对标的证券库予以更新和调整并及时书面通知基金托管人。基金托管人根据上述投资范围对基金实际投资是否符合《基金合同》关于证券选择标准的约定进行监督。</w:t>
      </w:r>
    </w:p>
    <w:p w14:paraId="0C091269" w14:textId="3E6F556F" w:rsidR="00DF5F45" w:rsidRDefault="00153BE1">
      <w:pPr>
        <w:adjustRightInd w:val="0"/>
        <w:snapToGrid w:val="0"/>
        <w:spacing w:line="360" w:lineRule="auto"/>
        <w:ind w:firstLineChars="200" w:firstLine="480"/>
        <w:rPr>
          <w:bCs/>
          <w:color w:val="000000" w:themeColor="text1"/>
          <w:sz w:val="24"/>
        </w:rPr>
      </w:pPr>
      <w:r>
        <w:rPr>
          <w:rFonts w:hint="eastAsia"/>
          <w:bCs/>
          <w:color w:val="000000" w:themeColor="text1"/>
          <w:sz w:val="24"/>
        </w:rPr>
        <w:t>本基金的投资对象包括国内依法发行上市的股票（包括主板、创业板、科创板</w:t>
      </w:r>
      <w:r w:rsidR="00734147">
        <w:rPr>
          <w:rFonts w:ascii="宋体" w:hAnsi="宋体" w:hint="eastAsia"/>
          <w:color w:val="000000" w:themeColor="text1"/>
          <w:sz w:val="24"/>
        </w:rPr>
        <w:t>、</w:t>
      </w:r>
      <w:r w:rsidR="00734147" w:rsidRPr="00C20F6A">
        <w:rPr>
          <w:rFonts w:ascii="宋体" w:hAnsi="宋体" w:hint="eastAsia"/>
          <w:color w:val="000000" w:themeColor="text1"/>
          <w:sz w:val="24"/>
        </w:rPr>
        <w:t>北京证券交易所</w:t>
      </w:r>
      <w:r>
        <w:rPr>
          <w:rFonts w:hint="eastAsia"/>
          <w:bCs/>
          <w:color w:val="000000" w:themeColor="text1"/>
          <w:sz w:val="24"/>
        </w:rPr>
        <w:t>及其他经中国证监会核准或注册上市的股票和存托凭证）、港股通标的股票、债券（包括国债、央行票据、金融债、企业债、公司债、公开发行的次级债、地方政府债券、政府支持机构债券、政府支持债券、中期票据、可转换债券、短期融资券、超短期融资券）、资产支持证券、债券回购、银行存款、同业存单、货币市场工具、国债期货、股指期货、股票期权及法律法规或中国证监会允许基金投资的其他金融工具（但须符合中国证监会的相关规定）。</w:t>
      </w:r>
    </w:p>
    <w:p w14:paraId="53140515" w14:textId="77777777" w:rsidR="00DF5F45" w:rsidRDefault="00153BE1">
      <w:pPr>
        <w:adjustRightInd w:val="0"/>
        <w:snapToGrid w:val="0"/>
        <w:spacing w:line="360" w:lineRule="auto"/>
        <w:ind w:firstLineChars="200" w:firstLine="480"/>
        <w:rPr>
          <w:bCs/>
          <w:color w:val="000000" w:themeColor="text1"/>
          <w:sz w:val="24"/>
        </w:rPr>
      </w:pPr>
      <w:r>
        <w:rPr>
          <w:rFonts w:hint="eastAsia"/>
          <w:bCs/>
          <w:color w:val="000000" w:themeColor="text1"/>
          <w:sz w:val="24"/>
        </w:rPr>
        <w:t>如法律法规或监管机构以后允许基金投资其他品种，基金管理人在履行适当程序后，可以将其纳入投资范围。</w:t>
      </w:r>
    </w:p>
    <w:p w14:paraId="4213E6A6" w14:textId="77777777" w:rsidR="00DF5F45" w:rsidRDefault="00153BE1">
      <w:pPr>
        <w:adjustRightInd w:val="0"/>
        <w:snapToGrid w:val="0"/>
        <w:spacing w:line="360" w:lineRule="auto"/>
        <w:ind w:firstLineChars="200" w:firstLine="480"/>
        <w:rPr>
          <w:bCs/>
          <w:color w:val="000000" w:themeColor="text1"/>
          <w:sz w:val="24"/>
        </w:rPr>
      </w:pPr>
      <w:r>
        <w:rPr>
          <w:rFonts w:hint="eastAsia"/>
          <w:bCs/>
          <w:color w:val="000000" w:themeColor="text1"/>
          <w:sz w:val="24"/>
        </w:rPr>
        <w:t>本基金可根据相关法律法规的规定，参与融资业务。</w:t>
      </w:r>
    </w:p>
    <w:p w14:paraId="108436FD" w14:textId="24BBDA4D" w:rsidR="00DF5F45" w:rsidRDefault="00153BE1">
      <w:pPr>
        <w:adjustRightInd w:val="0"/>
        <w:snapToGrid w:val="0"/>
        <w:spacing w:line="360" w:lineRule="auto"/>
        <w:ind w:firstLineChars="200" w:firstLine="480"/>
        <w:rPr>
          <w:bCs/>
          <w:color w:val="000000" w:themeColor="text1"/>
          <w:sz w:val="24"/>
        </w:rPr>
      </w:pPr>
      <w:r>
        <w:rPr>
          <w:rFonts w:hint="eastAsia"/>
          <w:bCs/>
          <w:color w:val="000000" w:themeColor="text1"/>
          <w:sz w:val="24"/>
        </w:rPr>
        <w:t>本基金的投资组合比例为：本基金股票投资占基金资产的比例为</w:t>
      </w:r>
      <w:r>
        <w:rPr>
          <w:rFonts w:hint="eastAsia"/>
          <w:bCs/>
          <w:color w:val="000000" w:themeColor="text1"/>
          <w:sz w:val="24"/>
        </w:rPr>
        <w:t>60%-95%</w:t>
      </w:r>
      <w:r>
        <w:rPr>
          <w:rFonts w:hint="eastAsia"/>
          <w:bCs/>
          <w:color w:val="000000" w:themeColor="text1"/>
          <w:sz w:val="24"/>
        </w:rPr>
        <w:t>，其中投资于港股通标的股票的比例不超过股票资产的</w:t>
      </w:r>
      <w:r>
        <w:rPr>
          <w:rFonts w:hint="eastAsia"/>
          <w:bCs/>
          <w:color w:val="000000" w:themeColor="text1"/>
          <w:sz w:val="24"/>
        </w:rPr>
        <w:t>50%</w:t>
      </w:r>
      <w:r>
        <w:rPr>
          <w:rFonts w:hint="eastAsia"/>
          <w:bCs/>
          <w:color w:val="000000" w:themeColor="text1"/>
          <w:sz w:val="24"/>
        </w:rPr>
        <w:t>；投资于新材料主题相</w:t>
      </w:r>
      <w:r>
        <w:rPr>
          <w:rFonts w:hint="eastAsia"/>
          <w:bCs/>
          <w:color w:val="000000" w:themeColor="text1"/>
          <w:sz w:val="24"/>
        </w:rPr>
        <w:lastRenderedPageBreak/>
        <w:t>关上市公司股票资产的比例不低于非现金基金资产的</w:t>
      </w:r>
      <w:r>
        <w:rPr>
          <w:rFonts w:hint="eastAsia"/>
          <w:bCs/>
          <w:color w:val="000000" w:themeColor="text1"/>
          <w:sz w:val="24"/>
        </w:rPr>
        <w:t>80%</w:t>
      </w:r>
      <w:r>
        <w:rPr>
          <w:rFonts w:hint="eastAsia"/>
          <w:bCs/>
          <w:color w:val="000000" w:themeColor="text1"/>
          <w:sz w:val="24"/>
        </w:rPr>
        <w:t>；每个交易日日终在扣除国债期货、股指期货和股票期权合约需缴纳的交易保证金后，本基金保持现金及到期日在一年以内的政府债券不低于基金资产净值的</w:t>
      </w:r>
      <w:r>
        <w:rPr>
          <w:rFonts w:hint="eastAsia"/>
          <w:bCs/>
          <w:color w:val="000000" w:themeColor="text1"/>
          <w:sz w:val="24"/>
        </w:rPr>
        <w:t>5%</w:t>
      </w:r>
      <w:r>
        <w:rPr>
          <w:rFonts w:hint="eastAsia"/>
          <w:bCs/>
          <w:color w:val="000000" w:themeColor="text1"/>
          <w:sz w:val="24"/>
        </w:rPr>
        <w:t>，其中现金不包括结算备付金、存出保证金、应收申购款等。</w:t>
      </w:r>
    </w:p>
    <w:p w14:paraId="3F725118"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如法律法规或中国证监会变更投资品种的投资比例限制，基金管理人在与基金托管人协商一致并履行适当程序后，可以调整上述投资品种的投资比例。</w:t>
      </w:r>
    </w:p>
    <w:p w14:paraId="1F9DDD9D" w14:textId="77777777" w:rsidR="00DF5F45" w:rsidRDefault="00153BE1">
      <w:pPr>
        <w:tabs>
          <w:tab w:val="left" w:pos="2268"/>
        </w:tabs>
        <w:spacing w:line="360" w:lineRule="auto"/>
        <w:ind w:firstLineChars="200" w:firstLine="480"/>
        <w:rPr>
          <w:bCs/>
          <w:color w:val="000000" w:themeColor="text1"/>
          <w:sz w:val="24"/>
        </w:rPr>
      </w:pPr>
      <w:r>
        <w:rPr>
          <w:rFonts w:hint="eastAsia"/>
          <w:bCs/>
          <w:color w:val="000000" w:themeColor="text1"/>
          <w:sz w:val="24"/>
        </w:rPr>
        <w:t>（二）基金托管人根据有关法律法规的规定及《基金合同》的约定，对基金投资、融资比例进行监督。基金托管人按下述比例和调整期限进行监督：</w:t>
      </w:r>
    </w:p>
    <w:p w14:paraId="064B85FD" w14:textId="55B27B36"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）本基金股票投资占基金资产的比例为</w:t>
      </w:r>
      <w:r>
        <w:rPr>
          <w:bCs/>
          <w:color w:val="000000" w:themeColor="text1"/>
          <w:sz w:val="24"/>
        </w:rPr>
        <w:t>6</w:t>
      </w:r>
      <w:r>
        <w:rPr>
          <w:rFonts w:hint="eastAsia"/>
          <w:bCs/>
          <w:color w:val="000000" w:themeColor="text1"/>
          <w:sz w:val="24"/>
        </w:rPr>
        <w:t>0%-95%</w:t>
      </w:r>
      <w:r>
        <w:rPr>
          <w:rFonts w:hint="eastAsia"/>
          <w:bCs/>
          <w:color w:val="000000" w:themeColor="text1"/>
          <w:sz w:val="24"/>
        </w:rPr>
        <w:t>，其中投资于港股通标的股票的比例不超过股票资产的</w:t>
      </w:r>
      <w:r>
        <w:rPr>
          <w:rFonts w:hint="eastAsia"/>
          <w:bCs/>
          <w:color w:val="000000" w:themeColor="text1"/>
          <w:sz w:val="24"/>
        </w:rPr>
        <w:t>50%</w:t>
      </w:r>
      <w:r>
        <w:rPr>
          <w:rFonts w:hint="eastAsia"/>
          <w:bCs/>
          <w:color w:val="000000" w:themeColor="text1"/>
          <w:sz w:val="24"/>
        </w:rPr>
        <w:t>；投资于新材料主题相关上市公司股票资产的比例不低于非现金基金资产的</w:t>
      </w:r>
      <w:r>
        <w:rPr>
          <w:rFonts w:hint="eastAsia"/>
          <w:bCs/>
          <w:color w:val="000000" w:themeColor="text1"/>
          <w:sz w:val="24"/>
        </w:rPr>
        <w:t>80%</w:t>
      </w:r>
      <w:r>
        <w:rPr>
          <w:rFonts w:hint="eastAsia"/>
          <w:bCs/>
          <w:color w:val="000000" w:themeColor="text1"/>
          <w:sz w:val="24"/>
        </w:rPr>
        <w:t>；</w:t>
      </w:r>
    </w:p>
    <w:p w14:paraId="1A5FE5FF"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2</w:t>
      </w:r>
      <w:r>
        <w:rPr>
          <w:rFonts w:hint="eastAsia"/>
          <w:bCs/>
          <w:color w:val="000000" w:themeColor="text1"/>
          <w:sz w:val="24"/>
        </w:rPr>
        <w:t>）每个交易日日终在扣除国债期货、股指期货和股票期权合约需缴纳的交易保证金后，本基金保持现金及到期日在一年以内的政府债券不低于基金资产净值的</w:t>
      </w:r>
      <w:r>
        <w:rPr>
          <w:rFonts w:hint="eastAsia"/>
          <w:bCs/>
          <w:color w:val="000000" w:themeColor="text1"/>
          <w:sz w:val="24"/>
        </w:rPr>
        <w:t>5%</w:t>
      </w:r>
      <w:r>
        <w:rPr>
          <w:rFonts w:hint="eastAsia"/>
          <w:bCs/>
          <w:color w:val="000000" w:themeColor="text1"/>
          <w:sz w:val="24"/>
        </w:rPr>
        <w:t>，其中现金不包括结算备付金、存出保证金、应收申购款等；</w:t>
      </w:r>
    </w:p>
    <w:p w14:paraId="6C072C1E"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3</w:t>
      </w:r>
      <w:r>
        <w:rPr>
          <w:rFonts w:hint="eastAsia"/>
          <w:bCs/>
          <w:color w:val="000000" w:themeColor="text1"/>
          <w:sz w:val="24"/>
        </w:rPr>
        <w:t>）本基金持有一家公司发行的证券，其市值（同一家公司在境内和香港同时上市的</w:t>
      </w:r>
      <w:r>
        <w:rPr>
          <w:rFonts w:hint="eastAsia"/>
          <w:bCs/>
          <w:color w:val="000000" w:themeColor="text1"/>
          <w:sz w:val="24"/>
        </w:rPr>
        <w:t>A+H</w:t>
      </w:r>
      <w:r>
        <w:rPr>
          <w:rFonts w:hint="eastAsia"/>
          <w:bCs/>
          <w:color w:val="000000" w:themeColor="text1"/>
          <w:sz w:val="24"/>
        </w:rPr>
        <w:t>股合计计算）不超过基金资产净值的</w:t>
      </w:r>
      <w:r>
        <w:rPr>
          <w:rFonts w:hint="eastAsia"/>
          <w:bCs/>
          <w:color w:val="000000" w:themeColor="text1"/>
          <w:sz w:val="24"/>
        </w:rPr>
        <w:t>10%</w:t>
      </w:r>
      <w:r>
        <w:rPr>
          <w:rFonts w:hint="eastAsia"/>
          <w:bCs/>
          <w:color w:val="000000" w:themeColor="text1"/>
          <w:sz w:val="24"/>
        </w:rPr>
        <w:t>；</w:t>
      </w:r>
    </w:p>
    <w:p w14:paraId="6A347BD9"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）本基金管理人管理的且在本基金托管人处托管的全部基金持有一家公司发行的证券（同一家公司在境内和香港同时上市的</w:t>
      </w:r>
      <w:r>
        <w:rPr>
          <w:bCs/>
          <w:color w:val="000000" w:themeColor="text1"/>
          <w:sz w:val="24"/>
        </w:rPr>
        <w:t>A+H</w:t>
      </w:r>
      <w:r>
        <w:rPr>
          <w:rFonts w:hint="eastAsia"/>
          <w:bCs/>
          <w:color w:val="000000" w:themeColor="text1"/>
          <w:sz w:val="24"/>
        </w:rPr>
        <w:t>股合计计算），不超过该证券的</w:t>
      </w:r>
      <w:r>
        <w:rPr>
          <w:bCs/>
          <w:color w:val="000000" w:themeColor="text1"/>
          <w:sz w:val="24"/>
        </w:rPr>
        <w:t>10%</w:t>
      </w:r>
      <w:r>
        <w:rPr>
          <w:rFonts w:hint="eastAsia"/>
          <w:bCs/>
          <w:color w:val="000000" w:themeColor="text1"/>
          <w:sz w:val="24"/>
        </w:rPr>
        <w:t>；</w:t>
      </w:r>
    </w:p>
    <w:p w14:paraId="7A8024E5"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5</w:t>
      </w:r>
      <w:r>
        <w:rPr>
          <w:rFonts w:hint="eastAsia"/>
          <w:bCs/>
          <w:color w:val="000000" w:themeColor="text1"/>
          <w:sz w:val="24"/>
        </w:rPr>
        <w:t>）本基金投资于同一原始权益人的各类资产支持证券的比例，不得超过基金资产净值的</w:t>
      </w:r>
      <w:r>
        <w:rPr>
          <w:rFonts w:hint="eastAsia"/>
          <w:bCs/>
          <w:color w:val="000000" w:themeColor="text1"/>
          <w:sz w:val="24"/>
        </w:rPr>
        <w:t>10%</w:t>
      </w:r>
      <w:r>
        <w:rPr>
          <w:rFonts w:hint="eastAsia"/>
          <w:bCs/>
          <w:color w:val="000000" w:themeColor="text1"/>
          <w:sz w:val="24"/>
        </w:rPr>
        <w:t>；</w:t>
      </w:r>
    </w:p>
    <w:p w14:paraId="21146911"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6</w:t>
      </w:r>
      <w:r>
        <w:rPr>
          <w:rFonts w:hint="eastAsia"/>
          <w:bCs/>
          <w:color w:val="000000" w:themeColor="text1"/>
          <w:sz w:val="24"/>
        </w:rPr>
        <w:t>）本基金持有的全部资产支持证券，其市值不得超过基金资产净值的</w:t>
      </w:r>
      <w:r>
        <w:rPr>
          <w:rFonts w:hint="eastAsia"/>
          <w:bCs/>
          <w:color w:val="000000" w:themeColor="text1"/>
          <w:sz w:val="24"/>
        </w:rPr>
        <w:t>20%</w:t>
      </w:r>
      <w:r>
        <w:rPr>
          <w:rFonts w:hint="eastAsia"/>
          <w:bCs/>
          <w:color w:val="000000" w:themeColor="text1"/>
          <w:sz w:val="24"/>
        </w:rPr>
        <w:t>；</w:t>
      </w:r>
    </w:p>
    <w:p w14:paraId="270F7F07"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7</w:t>
      </w:r>
      <w:r>
        <w:rPr>
          <w:rFonts w:hint="eastAsia"/>
          <w:bCs/>
          <w:color w:val="000000" w:themeColor="text1"/>
          <w:sz w:val="24"/>
        </w:rPr>
        <w:t>）本基金持有的同一（指同一信用级别）资产支持证券的比例，不得超过该资产支持证券规模的</w:t>
      </w:r>
      <w:r>
        <w:rPr>
          <w:rFonts w:hint="eastAsia"/>
          <w:bCs/>
          <w:color w:val="000000" w:themeColor="text1"/>
          <w:sz w:val="24"/>
        </w:rPr>
        <w:t>10%</w:t>
      </w:r>
      <w:r>
        <w:rPr>
          <w:rFonts w:hint="eastAsia"/>
          <w:bCs/>
          <w:color w:val="000000" w:themeColor="text1"/>
          <w:sz w:val="24"/>
        </w:rPr>
        <w:t>；</w:t>
      </w:r>
    </w:p>
    <w:p w14:paraId="1888FED2"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bCs/>
          <w:color w:val="000000" w:themeColor="text1"/>
          <w:sz w:val="24"/>
        </w:rPr>
        <w:t>8</w:t>
      </w:r>
      <w:r>
        <w:rPr>
          <w:rFonts w:hint="eastAsia"/>
          <w:bCs/>
          <w:color w:val="000000" w:themeColor="text1"/>
          <w:sz w:val="24"/>
        </w:rPr>
        <w:t>）本基金管理人管理的且在本基金托管人处托管的全部基金投资于同一原始权益人的各类资产支持证券，不得超过其各类资产支持证券合计规模的</w:t>
      </w:r>
      <w:r>
        <w:rPr>
          <w:bCs/>
          <w:color w:val="000000" w:themeColor="text1"/>
          <w:sz w:val="24"/>
        </w:rPr>
        <w:t>10%</w:t>
      </w:r>
      <w:r>
        <w:rPr>
          <w:rFonts w:hint="eastAsia"/>
          <w:bCs/>
          <w:color w:val="000000" w:themeColor="text1"/>
          <w:sz w:val="24"/>
        </w:rPr>
        <w:t>；</w:t>
      </w:r>
    </w:p>
    <w:p w14:paraId="5AA47882"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9</w:t>
      </w:r>
      <w:r>
        <w:rPr>
          <w:rFonts w:hint="eastAsia"/>
          <w:bCs/>
          <w:color w:val="000000" w:themeColor="text1"/>
          <w:sz w:val="24"/>
        </w:rPr>
        <w:t>）本基金应投资于信用级别评级为</w:t>
      </w:r>
      <w:r>
        <w:rPr>
          <w:rFonts w:hint="eastAsia"/>
          <w:bCs/>
          <w:color w:val="000000" w:themeColor="text1"/>
          <w:sz w:val="24"/>
        </w:rPr>
        <w:t>BBB</w:t>
      </w:r>
      <w:r>
        <w:rPr>
          <w:rFonts w:hint="eastAsia"/>
          <w:bCs/>
          <w:color w:val="000000" w:themeColor="text1"/>
          <w:sz w:val="24"/>
        </w:rPr>
        <w:t>以上（含</w:t>
      </w:r>
      <w:r>
        <w:rPr>
          <w:rFonts w:hint="eastAsia"/>
          <w:bCs/>
          <w:color w:val="000000" w:themeColor="text1"/>
          <w:sz w:val="24"/>
        </w:rPr>
        <w:t>BBB</w:t>
      </w:r>
      <w:r>
        <w:rPr>
          <w:rFonts w:hint="eastAsia"/>
          <w:bCs/>
          <w:color w:val="000000" w:themeColor="text1"/>
          <w:sz w:val="24"/>
        </w:rPr>
        <w:t>）的资产支持证券。基金持有资产支持证券期间，如果其信用等级下降、不再符合投资标准，应在评级报告发布之日起</w:t>
      </w:r>
      <w:r>
        <w:rPr>
          <w:rFonts w:hint="eastAsia"/>
          <w:bCs/>
          <w:color w:val="000000" w:themeColor="text1"/>
          <w:sz w:val="24"/>
        </w:rPr>
        <w:t>3</w:t>
      </w:r>
      <w:r>
        <w:rPr>
          <w:rFonts w:hint="eastAsia"/>
          <w:bCs/>
          <w:color w:val="000000" w:themeColor="text1"/>
          <w:sz w:val="24"/>
        </w:rPr>
        <w:t>个月内予以全部卖出；</w:t>
      </w:r>
    </w:p>
    <w:p w14:paraId="72AFF23C"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10</w:t>
      </w:r>
      <w:r>
        <w:rPr>
          <w:rFonts w:hint="eastAsia"/>
          <w:bCs/>
          <w:color w:val="000000" w:themeColor="text1"/>
          <w:sz w:val="24"/>
        </w:rPr>
        <w:t>）基金财产参与股票发行申购，本基金所申报的金额不超过本基金的总</w:t>
      </w:r>
      <w:r>
        <w:rPr>
          <w:rFonts w:hint="eastAsia"/>
          <w:bCs/>
          <w:color w:val="000000" w:themeColor="text1"/>
          <w:sz w:val="24"/>
        </w:rPr>
        <w:lastRenderedPageBreak/>
        <w:t>资产，本基金所申报的股票数量不超过拟发行股票公司本次发行股票的总量；</w:t>
      </w:r>
    </w:p>
    <w:p w14:paraId="62ECCDEC"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11</w:t>
      </w:r>
      <w:r>
        <w:rPr>
          <w:rFonts w:hint="eastAsia"/>
          <w:bCs/>
          <w:color w:val="000000" w:themeColor="text1"/>
          <w:sz w:val="24"/>
        </w:rPr>
        <w:t>）在任何交易日日终，持有的买入股指期货合约价值，不得超过基金资产净值的</w:t>
      </w:r>
      <w:r>
        <w:rPr>
          <w:rFonts w:hint="eastAsia"/>
          <w:bCs/>
          <w:color w:val="000000" w:themeColor="text1"/>
          <w:sz w:val="24"/>
        </w:rPr>
        <w:t>10%</w:t>
      </w:r>
      <w:r>
        <w:rPr>
          <w:rFonts w:hint="eastAsia"/>
          <w:bCs/>
          <w:color w:val="000000" w:themeColor="text1"/>
          <w:sz w:val="24"/>
        </w:rPr>
        <w:t>；在任何交易日日终，持有的卖出股指期货合约价值不得超过基金持有的股票总市值的</w:t>
      </w:r>
      <w:r>
        <w:rPr>
          <w:rFonts w:hint="eastAsia"/>
          <w:bCs/>
          <w:color w:val="000000" w:themeColor="text1"/>
          <w:sz w:val="24"/>
        </w:rPr>
        <w:t>20%</w:t>
      </w:r>
      <w:r>
        <w:rPr>
          <w:rFonts w:hint="eastAsia"/>
          <w:bCs/>
          <w:color w:val="000000" w:themeColor="text1"/>
          <w:sz w:val="24"/>
        </w:rPr>
        <w:t>；在任何交易日内交易（不包括平仓）的股指期货合约的成交金额不得超过上一交易日基金资产净值的</w:t>
      </w:r>
      <w:r>
        <w:rPr>
          <w:rFonts w:hint="eastAsia"/>
          <w:bCs/>
          <w:color w:val="000000" w:themeColor="text1"/>
          <w:sz w:val="24"/>
        </w:rPr>
        <w:t>20%</w:t>
      </w:r>
      <w:r>
        <w:rPr>
          <w:rFonts w:hint="eastAsia"/>
          <w:bCs/>
          <w:color w:val="000000" w:themeColor="text1"/>
          <w:sz w:val="24"/>
        </w:rPr>
        <w:t>；所持有的股票市值和买入、卖出股指期货合约价值，合计（轧差计算）应当符合基金合同关于股票投资比例的有关约定；</w:t>
      </w:r>
    </w:p>
    <w:p w14:paraId="31A4C6C1" w14:textId="625CA584"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12</w:t>
      </w:r>
      <w:r>
        <w:rPr>
          <w:rFonts w:hint="eastAsia"/>
          <w:bCs/>
          <w:color w:val="000000" w:themeColor="text1"/>
          <w:sz w:val="24"/>
        </w:rPr>
        <w:t>）在任何交易日日终，持有的买入国债期货合约价值，不得超过基金资产净值的</w:t>
      </w:r>
      <w:r>
        <w:rPr>
          <w:rFonts w:hint="eastAsia"/>
          <w:bCs/>
          <w:color w:val="000000" w:themeColor="text1"/>
          <w:sz w:val="24"/>
        </w:rPr>
        <w:t>15%</w:t>
      </w:r>
      <w:r>
        <w:rPr>
          <w:rFonts w:hint="eastAsia"/>
          <w:bCs/>
          <w:color w:val="000000" w:themeColor="text1"/>
          <w:sz w:val="24"/>
        </w:rPr>
        <w:t>；在任何交易日日终，持有的卖出国债期货合约价值不得超过基金持有的债券总市值的</w:t>
      </w:r>
      <w:r>
        <w:rPr>
          <w:rFonts w:hint="eastAsia"/>
          <w:bCs/>
          <w:color w:val="000000" w:themeColor="text1"/>
          <w:sz w:val="24"/>
        </w:rPr>
        <w:t>30%</w:t>
      </w:r>
      <w:r>
        <w:rPr>
          <w:rFonts w:hint="eastAsia"/>
          <w:bCs/>
          <w:color w:val="000000" w:themeColor="text1"/>
          <w:sz w:val="24"/>
        </w:rPr>
        <w:t>；在任何交易日内交易（不包括平仓）的国债期货合约的成交金额不得超过上一交易日基金资产净值的</w:t>
      </w:r>
      <w:r>
        <w:rPr>
          <w:rFonts w:hint="eastAsia"/>
          <w:bCs/>
          <w:color w:val="000000" w:themeColor="text1"/>
          <w:sz w:val="24"/>
        </w:rPr>
        <w:t>30%</w:t>
      </w:r>
      <w:r>
        <w:rPr>
          <w:rFonts w:hint="eastAsia"/>
          <w:bCs/>
          <w:color w:val="000000" w:themeColor="text1"/>
          <w:sz w:val="24"/>
        </w:rPr>
        <w:t>；</w:t>
      </w:r>
    </w:p>
    <w:p w14:paraId="1969A2CC"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13</w:t>
      </w:r>
      <w:r>
        <w:rPr>
          <w:rFonts w:hint="eastAsia"/>
          <w:bCs/>
          <w:color w:val="000000" w:themeColor="text1"/>
          <w:sz w:val="24"/>
        </w:rPr>
        <w:t>）本基金参与股指期货交易、国债期货交易后，本基金任何交易日日终，持有的买入国债期货和股指期货合约价值与有价证券市值之和，不得超过基金资产净值的</w:t>
      </w:r>
      <w:r>
        <w:rPr>
          <w:rFonts w:hint="eastAsia"/>
          <w:bCs/>
          <w:color w:val="000000" w:themeColor="text1"/>
          <w:sz w:val="24"/>
        </w:rPr>
        <w:t>95%</w:t>
      </w:r>
      <w:r>
        <w:rPr>
          <w:rFonts w:hint="eastAsia"/>
          <w:bCs/>
          <w:color w:val="000000" w:themeColor="text1"/>
          <w:sz w:val="24"/>
        </w:rPr>
        <w:t>。其中，有价证券指股票、债券（不含到期日在一年以内的政府债券）、资产支持证券、买入返售金融资产（不含质押式回购）等；</w:t>
      </w:r>
    </w:p>
    <w:p w14:paraId="049726EF"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14</w:t>
      </w:r>
      <w:r>
        <w:rPr>
          <w:rFonts w:hint="eastAsia"/>
          <w:bCs/>
          <w:color w:val="000000" w:themeColor="text1"/>
          <w:sz w:val="24"/>
        </w:rPr>
        <w:t>）本基金参与股票期权交易后，则需遵守下列投资比例限制：</w:t>
      </w:r>
    </w:p>
    <w:p w14:paraId="35BD427E"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1</w:t>
      </w:r>
      <w:r>
        <w:rPr>
          <w:rFonts w:hint="eastAsia"/>
          <w:bCs/>
          <w:color w:val="000000" w:themeColor="text1"/>
          <w:sz w:val="24"/>
        </w:rPr>
        <w:t>）基金因未平仓的期权合约支付和收取的权利金总额不得超过基金资产净值的</w:t>
      </w:r>
      <w:r>
        <w:rPr>
          <w:rFonts w:hint="eastAsia"/>
          <w:bCs/>
          <w:color w:val="000000" w:themeColor="text1"/>
          <w:sz w:val="24"/>
        </w:rPr>
        <w:t>10%</w:t>
      </w:r>
      <w:r>
        <w:rPr>
          <w:rFonts w:hint="eastAsia"/>
          <w:bCs/>
          <w:color w:val="000000" w:themeColor="text1"/>
          <w:sz w:val="24"/>
        </w:rPr>
        <w:t>；</w:t>
      </w:r>
    </w:p>
    <w:p w14:paraId="51A6BD66" w14:textId="71686E77" w:rsidR="00DF5F45" w:rsidRDefault="00153BE1" w:rsidP="00A52E90">
      <w:pPr>
        <w:spacing w:line="360" w:lineRule="auto"/>
        <w:ind w:firstLineChars="200" w:firstLine="480"/>
        <w:rPr>
          <w:bCs/>
          <w:color w:val="000000" w:themeColor="text1"/>
          <w:sz w:val="24"/>
        </w:rPr>
      </w:pPr>
      <w:r>
        <w:rPr>
          <w:rFonts w:hint="eastAsia"/>
          <w:bCs/>
          <w:color w:val="000000" w:themeColor="text1"/>
          <w:sz w:val="24"/>
        </w:rPr>
        <w:t>2</w:t>
      </w:r>
      <w:r>
        <w:rPr>
          <w:rFonts w:hint="eastAsia"/>
          <w:bCs/>
          <w:color w:val="000000" w:themeColor="text1"/>
          <w:sz w:val="24"/>
        </w:rPr>
        <w:t>）未平仓的期权合约面值不得超过基金资产净值的</w:t>
      </w:r>
      <w:r>
        <w:rPr>
          <w:rFonts w:hint="eastAsia"/>
          <w:bCs/>
          <w:color w:val="000000" w:themeColor="text1"/>
          <w:sz w:val="24"/>
        </w:rPr>
        <w:t>20%</w:t>
      </w:r>
      <w:r>
        <w:rPr>
          <w:rFonts w:hint="eastAsia"/>
          <w:bCs/>
          <w:color w:val="000000" w:themeColor="text1"/>
          <w:sz w:val="24"/>
        </w:rPr>
        <w:t>。其中，合约面值按照行权价乘以合约乘数计算；</w:t>
      </w:r>
    </w:p>
    <w:p w14:paraId="771E8D07"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15</w:t>
      </w:r>
      <w:r>
        <w:rPr>
          <w:rFonts w:hint="eastAsia"/>
          <w:bCs/>
          <w:color w:val="000000" w:themeColor="text1"/>
          <w:sz w:val="24"/>
        </w:rPr>
        <w:t>）本基金基金资产总值不得超过基金资产净值的</w:t>
      </w:r>
      <w:r>
        <w:rPr>
          <w:rFonts w:hint="eastAsia"/>
          <w:bCs/>
          <w:color w:val="000000" w:themeColor="text1"/>
          <w:sz w:val="24"/>
        </w:rPr>
        <w:t>140%</w:t>
      </w:r>
      <w:r>
        <w:rPr>
          <w:rFonts w:hint="eastAsia"/>
          <w:bCs/>
          <w:color w:val="000000" w:themeColor="text1"/>
          <w:sz w:val="24"/>
        </w:rPr>
        <w:t>；</w:t>
      </w:r>
    </w:p>
    <w:p w14:paraId="6A15412C"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bCs/>
          <w:color w:val="000000" w:themeColor="text1"/>
          <w:sz w:val="24"/>
        </w:rPr>
        <w:t>16</w:t>
      </w:r>
      <w:r>
        <w:rPr>
          <w:rFonts w:hint="eastAsia"/>
          <w:bCs/>
          <w:color w:val="000000" w:themeColor="text1"/>
          <w:sz w:val="24"/>
        </w:rPr>
        <w:t>）本基金管理人管理的且在本基金托管人处托管的全部开放式基金持有一家上市公司发行的可流通股票，不得超过该上市公司可流通股票的</w:t>
      </w:r>
      <w:r>
        <w:rPr>
          <w:bCs/>
          <w:color w:val="000000" w:themeColor="text1"/>
          <w:sz w:val="24"/>
        </w:rPr>
        <w:t>15%</w:t>
      </w:r>
      <w:r>
        <w:rPr>
          <w:rFonts w:hint="eastAsia"/>
          <w:bCs/>
          <w:color w:val="000000" w:themeColor="text1"/>
          <w:sz w:val="24"/>
        </w:rPr>
        <w:t>；本基金管理人管理的且在本基金托管人处托管的全部投资组合持有一家上市公司发行的可流通股票，不得超过该上市公司可流通股票的</w:t>
      </w:r>
      <w:r>
        <w:rPr>
          <w:bCs/>
          <w:color w:val="000000" w:themeColor="text1"/>
          <w:sz w:val="24"/>
        </w:rPr>
        <w:t>30%</w:t>
      </w:r>
      <w:r>
        <w:rPr>
          <w:rFonts w:hint="eastAsia"/>
          <w:bCs/>
          <w:color w:val="000000" w:themeColor="text1"/>
          <w:sz w:val="24"/>
        </w:rPr>
        <w:t>；</w:t>
      </w:r>
    </w:p>
    <w:p w14:paraId="0E16A45A"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17</w:t>
      </w:r>
      <w:r>
        <w:rPr>
          <w:rFonts w:hint="eastAsia"/>
          <w:bCs/>
          <w:color w:val="000000" w:themeColor="text1"/>
          <w:sz w:val="24"/>
        </w:rPr>
        <w:t>）本基金主动投资于流动性受限资产的市值合计不得超过基金资产净值的</w:t>
      </w:r>
      <w:r>
        <w:rPr>
          <w:rFonts w:hint="eastAsia"/>
          <w:bCs/>
          <w:color w:val="000000" w:themeColor="text1"/>
          <w:sz w:val="24"/>
        </w:rPr>
        <w:t>15%</w:t>
      </w:r>
      <w:r>
        <w:rPr>
          <w:rFonts w:hint="eastAsia"/>
          <w:bCs/>
          <w:color w:val="000000" w:themeColor="text1"/>
          <w:sz w:val="24"/>
        </w:rPr>
        <w:t>；因证券</w:t>
      </w:r>
      <w:r>
        <w:rPr>
          <w:rFonts w:hint="eastAsia"/>
          <w:bCs/>
          <w:color w:val="000000" w:themeColor="text1"/>
          <w:sz w:val="24"/>
        </w:rPr>
        <w:t>/</w:t>
      </w:r>
      <w:r>
        <w:rPr>
          <w:rFonts w:hint="eastAsia"/>
          <w:bCs/>
          <w:color w:val="000000" w:themeColor="text1"/>
          <w:sz w:val="24"/>
        </w:rPr>
        <w:t>期货市场波动、上市公司股票停牌、基金规模变动等基金管理人之外的因素致使基金不符合该比例限制的，本基金管理人不得主动新增流动性受限资产的投资；</w:t>
      </w:r>
    </w:p>
    <w:p w14:paraId="0ADF87BF" w14:textId="71824183" w:rsidR="00DF5F45" w:rsidRDefault="00153BE1" w:rsidP="00A52E90">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18</w:t>
      </w:r>
      <w:r>
        <w:rPr>
          <w:rFonts w:hint="eastAsia"/>
          <w:bCs/>
          <w:color w:val="000000" w:themeColor="text1"/>
          <w:sz w:val="24"/>
        </w:rPr>
        <w:t>）本基金参与融资的，在任何交易日日终，本基金持有的融资买入股票</w:t>
      </w:r>
      <w:r>
        <w:rPr>
          <w:rFonts w:hint="eastAsia"/>
          <w:bCs/>
          <w:color w:val="000000" w:themeColor="text1"/>
          <w:sz w:val="24"/>
        </w:rPr>
        <w:lastRenderedPageBreak/>
        <w:t>与其他有价证券市值之和，不得超过基金资产净值的</w:t>
      </w:r>
      <w:r>
        <w:rPr>
          <w:rFonts w:hint="eastAsia"/>
          <w:bCs/>
          <w:color w:val="000000" w:themeColor="text1"/>
          <w:sz w:val="24"/>
        </w:rPr>
        <w:t>95%</w:t>
      </w:r>
      <w:r>
        <w:rPr>
          <w:rFonts w:hint="eastAsia"/>
          <w:bCs/>
          <w:color w:val="000000" w:themeColor="text1"/>
          <w:sz w:val="24"/>
        </w:rPr>
        <w:t>；</w:t>
      </w:r>
    </w:p>
    <w:p w14:paraId="3C676787" w14:textId="166740E9" w:rsidR="00DF5F45" w:rsidRDefault="00153BE1">
      <w:pPr>
        <w:spacing w:line="360" w:lineRule="auto"/>
        <w:ind w:firstLineChars="200" w:firstLine="480"/>
        <w:rPr>
          <w:bCs/>
          <w:color w:val="000000" w:themeColor="text1"/>
          <w:sz w:val="24"/>
        </w:rPr>
      </w:pPr>
      <w:r>
        <w:rPr>
          <w:rFonts w:hint="eastAsia"/>
          <w:bCs/>
          <w:color w:val="000000" w:themeColor="text1"/>
          <w:sz w:val="24"/>
        </w:rPr>
        <w:t>（</w:t>
      </w:r>
      <w:r w:rsidR="00A52E90">
        <w:rPr>
          <w:bCs/>
          <w:color w:val="000000" w:themeColor="text1"/>
          <w:sz w:val="24"/>
        </w:rPr>
        <w:t>19</w:t>
      </w:r>
      <w:r>
        <w:rPr>
          <w:rFonts w:hint="eastAsia"/>
          <w:bCs/>
          <w:color w:val="000000" w:themeColor="text1"/>
          <w:sz w:val="24"/>
        </w:rPr>
        <w:t>）本基金投资存托凭证的比例限制依照境内上市交易的股票执行，与境内上市交易的股票合并计算；</w:t>
      </w:r>
    </w:p>
    <w:p w14:paraId="65FB8846" w14:textId="1E42BB83"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bCs/>
          <w:color w:val="000000" w:themeColor="text1"/>
          <w:sz w:val="24"/>
        </w:rPr>
        <w:t>2</w:t>
      </w:r>
      <w:r w:rsidR="00A52E90">
        <w:rPr>
          <w:bCs/>
          <w:color w:val="000000" w:themeColor="text1"/>
          <w:sz w:val="24"/>
        </w:rPr>
        <w:t>0</w:t>
      </w:r>
      <w:r>
        <w:rPr>
          <w:rFonts w:hint="eastAsia"/>
          <w:bCs/>
          <w:color w:val="000000" w:themeColor="text1"/>
          <w:sz w:val="24"/>
        </w:rPr>
        <w:t>）法律法规及中国证监会规定的和《基金合同》约定的其他投资限制。</w:t>
      </w:r>
    </w:p>
    <w:p w14:paraId="7DA7C449" w14:textId="491C4723" w:rsidR="00DF5F45" w:rsidRDefault="00153BE1">
      <w:pPr>
        <w:spacing w:line="360" w:lineRule="auto"/>
        <w:ind w:firstLineChars="200" w:firstLine="480"/>
        <w:rPr>
          <w:bCs/>
          <w:color w:val="000000" w:themeColor="text1"/>
          <w:sz w:val="24"/>
        </w:rPr>
      </w:pPr>
      <w:r>
        <w:rPr>
          <w:rFonts w:hint="eastAsia"/>
          <w:bCs/>
          <w:color w:val="000000" w:themeColor="text1"/>
          <w:sz w:val="24"/>
        </w:rPr>
        <w:t>除上述第（</w:t>
      </w:r>
      <w:r>
        <w:rPr>
          <w:rFonts w:hint="eastAsia"/>
          <w:bCs/>
          <w:color w:val="000000" w:themeColor="text1"/>
          <w:sz w:val="24"/>
        </w:rPr>
        <w:t>2</w:t>
      </w:r>
      <w:r>
        <w:rPr>
          <w:rFonts w:hint="eastAsia"/>
          <w:bCs/>
          <w:color w:val="000000" w:themeColor="text1"/>
          <w:sz w:val="24"/>
        </w:rPr>
        <w:t>）、（</w:t>
      </w:r>
      <w:r>
        <w:rPr>
          <w:rFonts w:hint="eastAsia"/>
          <w:bCs/>
          <w:color w:val="000000" w:themeColor="text1"/>
          <w:sz w:val="24"/>
        </w:rPr>
        <w:t>9</w:t>
      </w:r>
      <w:r>
        <w:rPr>
          <w:rFonts w:hint="eastAsia"/>
          <w:bCs/>
          <w:color w:val="000000" w:themeColor="text1"/>
          <w:sz w:val="24"/>
        </w:rPr>
        <w:t>）、（</w:t>
      </w:r>
      <w:r>
        <w:rPr>
          <w:rFonts w:hint="eastAsia"/>
          <w:bCs/>
          <w:color w:val="000000" w:themeColor="text1"/>
          <w:sz w:val="24"/>
        </w:rPr>
        <w:t>17</w:t>
      </w:r>
      <w:r>
        <w:rPr>
          <w:rFonts w:hint="eastAsia"/>
          <w:bCs/>
          <w:color w:val="000000" w:themeColor="text1"/>
          <w:sz w:val="24"/>
        </w:rPr>
        <w:t>）情形之外，因证券</w:t>
      </w:r>
      <w:r>
        <w:rPr>
          <w:rFonts w:hint="eastAsia"/>
          <w:bCs/>
          <w:color w:val="000000" w:themeColor="text1"/>
          <w:sz w:val="24"/>
        </w:rPr>
        <w:t>/</w:t>
      </w:r>
      <w:r>
        <w:rPr>
          <w:rFonts w:hint="eastAsia"/>
          <w:bCs/>
          <w:color w:val="000000" w:themeColor="text1"/>
          <w:sz w:val="24"/>
        </w:rPr>
        <w:t>期货市场波动、证券发行人合并、基金规模变动等基金管理人之外的因素致使基金投资比例不符合上述规定投资比例的，基金管理人应当在</w:t>
      </w:r>
      <w:r>
        <w:rPr>
          <w:rFonts w:hint="eastAsia"/>
          <w:bCs/>
          <w:color w:val="000000" w:themeColor="text1"/>
          <w:sz w:val="24"/>
        </w:rPr>
        <w:t>10</w:t>
      </w:r>
      <w:r>
        <w:rPr>
          <w:rFonts w:hint="eastAsia"/>
          <w:bCs/>
          <w:color w:val="000000" w:themeColor="text1"/>
          <w:sz w:val="24"/>
        </w:rPr>
        <w:t>个交易日内进行调整，但法律法规或中国证监会规定的特殊情形除外。</w:t>
      </w:r>
    </w:p>
    <w:p w14:paraId="40A861CD"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基金管理人应当自基金合同生效之日起</w:t>
      </w:r>
      <w:r>
        <w:rPr>
          <w:rFonts w:hint="eastAsia"/>
          <w:bCs/>
          <w:color w:val="000000" w:themeColor="text1"/>
          <w:sz w:val="24"/>
        </w:rPr>
        <w:t>6</w:t>
      </w:r>
      <w:r>
        <w:rPr>
          <w:rFonts w:hint="eastAsia"/>
          <w:bCs/>
          <w:color w:val="000000" w:themeColor="text1"/>
          <w:sz w:val="24"/>
        </w:rPr>
        <w:t>个月内使基金的投资组合比例符合基金合同的有关约定。在上述期间内，本基金的投资范围、投资策略应当符合基金合同的约定。基金托管人对基金的投资的监督与检查自基金合同生效之日起开始，法律法规或监管部门另有规定的，从其规定。</w:t>
      </w:r>
    </w:p>
    <w:p w14:paraId="06936C42"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法律法规或监管部门取消或变更上述限制，如适用于本基金，基金管理人在履行适当程序后，本基金投资不再受相关限制或以变更后的规定为准。</w:t>
      </w:r>
    </w:p>
    <w:p w14:paraId="60ACC25E"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（三）基金托管人</w:t>
      </w:r>
      <w:bookmarkStart w:id="5" w:name="OLE_LINK1"/>
      <w:r>
        <w:rPr>
          <w:rFonts w:hint="eastAsia"/>
          <w:bCs/>
          <w:color w:val="000000" w:themeColor="text1"/>
          <w:sz w:val="24"/>
        </w:rPr>
        <w:t>根据有关法律法规的规定及《基金合同》的约定，</w:t>
      </w:r>
      <w:bookmarkEnd w:id="5"/>
      <w:r>
        <w:rPr>
          <w:rFonts w:hint="eastAsia"/>
          <w:bCs/>
          <w:color w:val="000000" w:themeColor="text1"/>
          <w:sz w:val="24"/>
        </w:rPr>
        <w:t>对本托管协议第十五条第（九）款基金投资禁止行为通过事后监督方式进行监督。</w:t>
      </w:r>
    </w:p>
    <w:p w14:paraId="5EA9784C"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基金管理人运用基金财产买卖基金管理人、基金托管人及其控股股东、实际控制人或者与其有其他重大利害关系的公司发行的证券或者承销期内承销的证券，或者从事其他重大关联交易的，应当符合本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2678E7E2"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（四）基金托管人根据有关法律法规的规定及《基金合同》的约定，对基金管理人投资流通受限证券进行监督。</w:t>
      </w:r>
    </w:p>
    <w:p w14:paraId="07648EA4"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基金管理人投资流通受限证券，应事先根据中国证监会相关规定，明确基金投资流通受限证券的比例，制订严格的投资决策流程和风险控制制度，防范流动性风险、法律风险和操作风险等各种风险。</w:t>
      </w:r>
    </w:p>
    <w:p w14:paraId="37C0CC45" w14:textId="77777777" w:rsidR="00DF5F45" w:rsidRDefault="00153BE1">
      <w:pPr>
        <w:spacing w:line="360" w:lineRule="auto"/>
        <w:ind w:firstLineChars="200" w:firstLine="480"/>
        <w:rPr>
          <w:bCs/>
          <w:color w:val="000000" w:themeColor="text1"/>
          <w:sz w:val="24"/>
        </w:rPr>
      </w:pPr>
      <w:r>
        <w:rPr>
          <w:bCs/>
          <w:color w:val="000000" w:themeColor="text1"/>
          <w:sz w:val="24"/>
        </w:rPr>
        <w:t>1.</w:t>
      </w:r>
      <w:r>
        <w:rPr>
          <w:rFonts w:hint="eastAsia"/>
          <w:bCs/>
          <w:color w:val="000000" w:themeColor="text1"/>
          <w:sz w:val="24"/>
        </w:rPr>
        <w:t>本基金投资的流通受限证券须为经中国证监会批准的非公开发行股票、公开</w:t>
      </w:r>
      <w:r>
        <w:rPr>
          <w:rFonts w:hint="eastAsia"/>
          <w:bCs/>
          <w:color w:val="000000" w:themeColor="text1"/>
          <w:sz w:val="24"/>
        </w:rPr>
        <w:lastRenderedPageBreak/>
        <w:t>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7A6950B9"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本基金投资的流通受限证券限于可由中国证券登记结算有限责任公司或中央国债登记结算有限责任公司负责登记和存管，并可在证券交易所或全国银行间债券市场交易的证券。</w:t>
      </w:r>
    </w:p>
    <w:p w14:paraId="354ACB5C"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本基金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14:paraId="11684F88"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本基金投资流通受限证券，不得预付任何形式的保证金。若有最新法律法规、监管政策变更规定的，根据最新法律法规、监管政策执行。</w:t>
      </w:r>
    </w:p>
    <w:p w14:paraId="69BFD657" w14:textId="5CE1F72F" w:rsidR="00DF5F45" w:rsidRDefault="00153BE1">
      <w:pPr>
        <w:spacing w:line="360" w:lineRule="auto"/>
        <w:ind w:firstLineChars="200" w:firstLine="480"/>
        <w:rPr>
          <w:bCs/>
          <w:color w:val="000000" w:themeColor="text1"/>
          <w:sz w:val="24"/>
        </w:rPr>
      </w:pPr>
      <w:r>
        <w:rPr>
          <w:bCs/>
          <w:color w:val="000000" w:themeColor="text1"/>
          <w:sz w:val="24"/>
        </w:rPr>
        <w:t>2.</w:t>
      </w:r>
      <w:r>
        <w:rPr>
          <w:rFonts w:hint="eastAsia"/>
          <w:bCs/>
          <w:color w:val="000000" w:themeColor="text1"/>
          <w:sz w:val="24"/>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基金管理人对本基金投资流通受限证券的流动性风险负责，确保对相关风险采取积极有效的措施，在合理的时间内有效解决基金运作的流动性问题。对本基金因投资流通受限证券导致的流动性风险，基金托管人不承担任何责任。如因基金管理人原因导致本基金出现损失致使基金托管人承担连带赔偿责任的，基金管理人应赔偿基金托管人由此遭受的损失。</w:t>
      </w:r>
    </w:p>
    <w:p w14:paraId="7F8EC1CF" w14:textId="77777777" w:rsidR="00DF5F45" w:rsidRDefault="00153BE1">
      <w:pPr>
        <w:spacing w:line="360" w:lineRule="auto"/>
        <w:ind w:firstLineChars="200" w:firstLine="480"/>
        <w:rPr>
          <w:bCs/>
          <w:color w:val="000000" w:themeColor="text1"/>
          <w:sz w:val="24"/>
        </w:rPr>
      </w:pPr>
      <w:r>
        <w:rPr>
          <w:bCs/>
          <w:color w:val="000000" w:themeColor="text1"/>
          <w:sz w:val="24"/>
        </w:rPr>
        <w:t>3.</w:t>
      </w:r>
      <w:r>
        <w:rPr>
          <w:rFonts w:hint="eastAsia"/>
          <w:bCs/>
          <w:color w:val="000000" w:themeColor="text1"/>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22AE2C38"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）中国证监会批准发行非公开发行股票的批准文件。</w:t>
      </w:r>
    </w:p>
    <w:p w14:paraId="0EE32A4D"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）非公开发行股票有关发行数量、发行价格、锁定期等发行资料。</w:t>
      </w:r>
    </w:p>
    <w:p w14:paraId="3BDA8A2A"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）基金拟认购的数量、价格、总成本、账面价值。</w:t>
      </w:r>
    </w:p>
    <w:p w14:paraId="49F33DF5" w14:textId="77777777" w:rsidR="00DF5F45" w:rsidRDefault="00153BE1">
      <w:pPr>
        <w:spacing w:line="360" w:lineRule="auto"/>
        <w:ind w:firstLineChars="200" w:firstLine="480"/>
        <w:rPr>
          <w:bCs/>
          <w:color w:val="000000" w:themeColor="text1"/>
          <w:sz w:val="24"/>
        </w:rPr>
      </w:pPr>
      <w:r>
        <w:rPr>
          <w:bCs/>
          <w:color w:val="000000" w:themeColor="text1"/>
          <w:sz w:val="24"/>
        </w:rPr>
        <w:t>4.</w:t>
      </w:r>
      <w:r>
        <w:rPr>
          <w:rFonts w:hint="eastAsia"/>
          <w:bCs/>
          <w:color w:val="000000" w:themeColor="text1"/>
          <w:sz w:val="24"/>
        </w:rPr>
        <w:t>基金管理人应在本基金投资非公开发行股票后两个交易日内，在中国证监会规定媒介披露所投资非公开发行股票的名称、数量、总成本、账面价值，以及总</w:t>
      </w:r>
      <w:r>
        <w:rPr>
          <w:rFonts w:hint="eastAsia"/>
          <w:bCs/>
          <w:color w:val="000000" w:themeColor="text1"/>
          <w:sz w:val="24"/>
        </w:rPr>
        <w:lastRenderedPageBreak/>
        <w:t>成本和账面价值占基金资产净值的比例、锁定期等信息。</w:t>
      </w:r>
    </w:p>
    <w:p w14:paraId="139CAB89"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本基金有关投资流通受限证券比例如违反有关限制规定，在合理期限内未能进行及时调整，基金管理人应在两日内编制临时报告书，予以公告。</w:t>
      </w:r>
    </w:p>
    <w:p w14:paraId="7C6D5DD7" w14:textId="77777777" w:rsidR="00DF5F45" w:rsidRDefault="00153BE1">
      <w:pPr>
        <w:spacing w:line="360" w:lineRule="auto"/>
        <w:ind w:firstLineChars="200" w:firstLine="480"/>
        <w:rPr>
          <w:bCs/>
          <w:color w:val="000000" w:themeColor="text1"/>
          <w:sz w:val="24"/>
        </w:rPr>
      </w:pPr>
      <w:r>
        <w:rPr>
          <w:bCs/>
          <w:color w:val="000000" w:themeColor="text1"/>
          <w:sz w:val="24"/>
        </w:rPr>
        <w:t>5.</w:t>
      </w:r>
      <w:r>
        <w:rPr>
          <w:rFonts w:hint="eastAsia"/>
          <w:bCs/>
          <w:color w:val="000000" w:themeColor="text1"/>
          <w:sz w:val="24"/>
        </w:rPr>
        <w:t>相关法律法规对基金投资流通受限证券有新规定的，从其规定。</w:t>
      </w:r>
    </w:p>
    <w:p w14:paraId="0AB5EE5B" w14:textId="77777777" w:rsidR="00DF5F45" w:rsidRDefault="00153BE1">
      <w:pPr>
        <w:spacing w:line="360" w:lineRule="auto"/>
        <w:ind w:firstLineChars="200" w:firstLine="480"/>
        <w:rPr>
          <w:bCs/>
          <w:color w:val="000000" w:themeColor="text1"/>
          <w:sz w:val="24"/>
        </w:rPr>
      </w:pPr>
      <w:r>
        <w:rPr>
          <w:rFonts w:hint="eastAsia"/>
          <w:bCs/>
          <w:color w:val="000000" w:themeColor="text1"/>
          <w:sz w:val="24"/>
        </w:rPr>
        <w:t>（五）基金托管人根据有关法律法规的规定及《基金合同》的约定，对基金资产净值计算、各类别基金份额净值计算、应收资金到账、基金费用开支及收入确定、基金收益分配、相关信息披露、基金宣传推介材料中登载基金业绩表现数据等进行监督和核查。</w:t>
      </w:r>
    </w:p>
    <w:p w14:paraId="0085C63F" w14:textId="63D4AE5F"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（六）</w:t>
      </w:r>
      <w:r>
        <w:rPr>
          <w:rFonts w:hint="eastAsia"/>
          <w:bCs/>
          <w:color w:val="000000" w:themeColor="text1"/>
          <w:sz w:val="24"/>
        </w:rPr>
        <w:t>基金托管人投资监督的准确性和完整性受限于基金管理人及其他中介机构提供的数据和信息。基金托管人在充分获取所必需数据信息的前提下提供投资监督服务。</w:t>
      </w:r>
      <w:r>
        <w:rPr>
          <w:rFonts w:ascii="宋体" w:hAnsi="宋体" w:cs="Arial" w:hint="eastAsia"/>
          <w:color w:val="000000" w:themeColor="text1"/>
          <w:sz w:val="24"/>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邮件或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2713004E" w14:textId="71326CB8"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七）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1EFF8AA1"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（八）若基金托管人发现基金管理人依据交易程序已经生效的指令违反法律、行政法规和其他有关规定，或者违反《基金合同》约定的，应当及时通知基金管理人，由此造成的损失由基金管理人承担。</w:t>
      </w:r>
    </w:p>
    <w:p w14:paraId="4C75FCBF"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九）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w:t>
      </w:r>
      <w:r>
        <w:rPr>
          <w:rFonts w:ascii="宋体" w:hAnsi="宋体" w:cs="Arial" w:hint="eastAsia"/>
          <w:color w:val="000000" w:themeColor="text1"/>
          <w:sz w:val="24"/>
        </w:rPr>
        <w:lastRenderedPageBreak/>
        <w:t>不改正的，基金托管人应报告中国证监会。</w:t>
      </w:r>
    </w:p>
    <w:p w14:paraId="656DFAB2" w14:textId="77777777" w:rsidR="00DF5F45" w:rsidRDefault="00DF5F45">
      <w:pPr>
        <w:spacing w:line="360" w:lineRule="auto"/>
        <w:rPr>
          <w:rFonts w:ascii="宋体" w:hAnsi="宋体"/>
          <w:color w:val="000000" w:themeColor="text1"/>
          <w:sz w:val="24"/>
        </w:rPr>
      </w:pPr>
    </w:p>
    <w:p w14:paraId="473775F3" w14:textId="77777777" w:rsidR="00DF5F45" w:rsidRDefault="00153BE1">
      <w:pPr>
        <w:pStyle w:val="2"/>
        <w:spacing w:line="360" w:lineRule="auto"/>
        <w:jc w:val="center"/>
        <w:rPr>
          <w:rFonts w:ascii="宋体" w:eastAsia="宋体" w:hAnsi="宋体"/>
          <w:color w:val="000000" w:themeColor="text1"/>
          <w:sz w:val="30"/>
        </w:rPr>
      </w:pPr>
      <w:bookmarkStart w:id="6" w:name="_Toc108512358"/>
      <w:bookmarkStart w:id="7" w:name="_Toc110830492"/>
      <w:bookmarkStart w:id="8" w:name="_Toc86223242"/>
      <w:bookmarkStart w:id="9" w:name="_Toc124325888"/>
      <w:bookmarkStart w:id="10" w:name="_Toc118212950"/>
      <w:bookmarkStart w:id="11" w:name="_Toc118972648"/>
      <w:bookmarkStart w:id="12" w:name="_Toc110765660"/>
      <w:bookmarkStart w:id="13" w:name="_Toc120435783"/>
      <w:bookmarkStart w:id="14" w:name="_Toc86727355"/>
      <w:bookmarkStart w:id="15" w:name="_Toc118774803"/>
      <w:bookmarkStart w:id="16" w:name="_Toc89163368"/>
      <w:bookmarkStart w:id="17" w:name="_Toc86225291"/>
      <w:bookmarkStart w:id="18" w:name="_Toc86649722"/>
      <w:bookmarkStart w:id="19" w:name="_Toc119402710"/>
      <w:bookmarkStart w:id="20" w:name="_Toc110761796"/>
      <w:bookmarkStart w:id="21" w:name="_Toc86737929"/>
      <w:bookmarkStart w:id="22" w:name="_Toc86726439"/>
      <w:r>
        <w:rPr>
          <w:rFonts w:ascii="宋体" w:eastAsia="宋体" w:hAnsi="宋体" w:hint="eastAsia"/>
          <w:color w:val="000000" w:themeColor="text1"/>
          <w:sz w:val="30"/>
        </w:rPr>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5B4CBB6"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一）基金管理人对基金托管人履行托管职责情况进行核查，核查事项包括但不限于基金托管人安全保管基金财产、开设基金财产的资金账户和证券账户等投资所需账户、复核基金管理人计算的基金资产净值和各类别基金份额净值、根据基金管理人指令办理清算交收、相关信息披露和监督基金投资运作等行为。</w:t>
      </w:r>
    </w:p>
    <w:p w14:paraId="73F7D630"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电话或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05E0DDD0"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三）基金管理人发现基金托管人有重大违规行为，应及时报告中国证监会，同时通知基金托管人限期纠正，并将纠正结果报告中国证监会。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1EAA171B" w14:textId="77777777" w:rsidR="00DF5F45" w:rsidRDefault="00DF5F45">
      <w:pPr>
        <w:spacing w:line="360" w:lineRule="auto"/>
        <w:rPr>
          <w:rFonts w:ascii="宋体" w:hAnsi="宋体"/>
          <w:color w:val="000000" w:themeColor="text1"/>
          <w:sz w:val="24"/>
        </w:rPr>
      </w:pPr>
    </w:p>
    <w:p w14:paraId="7E453687" w14:textId="77777777" w:rsidR="00DF5F45" w:rsidRDefault="00153BE1">
      <w:pPr>
        <w:pStyle w:val="2"/>
        <w:spacing w:line="360" w:lineRule="auto"/>
        <w:jc w:val="center"/>
        <w:rPr>
          <w:rFonts w:ascii="宋体" w:eastAsia="宋体" w:hAnsi="宋体"/>
          <w:color w:val="000000" w:themeColor="text1"/>
          <w:sz w:val="30"/>
        </w:rPr>
      </w:pPr>
      <w:bookmarkStart w:id="23" w:name="_Toc84234435"/>
      <w:bookmarkStart w:id="24" w:name="_Toc86726440"/>
      <w:bookmarkStart w:id="25" w:name="_Toc120435784"/>
      <w:bookmarkStart w:id="26" w:name="_Toc86204789"/>
      <w:bookmarkStart w:id="27" w:name="_Toc86223243"/>
      <w:bookmarkStart w:id="28" w:name="_Toc110765661"/>
      <w:bookmarkStart w:id="29" w:name="_Toc118774804"/>
      <w:bookmarkStart w:id="30" w:name="_Toc119402711"/>
      <w:bookmarkStart w:id="31" w:name="_Toc124325889"/>
      <w:bookmarkStart w:id="32" w:name="_Toc86649723"/>
      <w:bookmarkStart w:id="33" w:name="_Toc89163369"/>
      <w:bookmarkStart w:id="34" w:name="_Toc108512359"/>
      <w:bookmarkStart w:id="35" w:name="_Toc118212951"/>
      <w:bookmarkStart w:id="36" w:name="_Toc110830493"/>
      <w:bookmarkStart w:id="37" w:name="_Toc86225292"/>
      <w:bookmarkStart w:id="38" w:name="_Toc118972649"/>
      <w:bookmarkStart w:id="39" w:name="_Toc84234388"/>
      <w:bookmarkStart w:id="40" w:name="_Toc84133786"/>
      <w:bookmarkStart w:id="41" w:name="_Toc86737930"/>
      <w:bookmarkStart w:id="42" w:name="_Toc110761797"/>
      <w:bookmarkStart w:id="43" w:name="_Toc86727356"/>
      <w:r>
        <w:rPr>
          <w:rFonts w:ascii="宋体" w:eastAsia="宋体" w:hAnsi="宋体" w:hint="eastAsia"/>
          <w:color w:val="000000" w:themeColor="text1"/>
          <w:sz w:val="30"/>
        </w:rPr>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4049E370"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（一）基金财产保管的原则</w:t>
      </w:r>
    </w:p>
    <w:p w14:paraId="6DA7060B"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1.基金财产应独立于基金管理人、基金托管人的固有财产。</w:t>
      </w:r>
    </w:p>
    <w:p w14:paraId="3B9FC357"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2.基金托管人应安全保管基金财产。</w:t>
      </w:r>
    </w:p>
    <w:p w14:paraId="7B15B772"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3.基金托管人按照规定开设基金财产的资金账户和证券账户等投资所需账户。</w:t>
      </w:r>
    </w:p>
    <w:p w14:paraId="0B2B7E43"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lastRenderedPageBreak/>
        <w:t>4.基金托管人对所托管的不同基金财产分别设置账户，分账管理，独立核算，确保基金财产的完整与独立。</w:t>
      </w:r>
    </w:p>
    <w:p w14:paraId="1E978EE8"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5.基金托管人按照《基金合同》和本协议的约定保管基金财产，如有特殊情况双方可另行协商解决。基金托管人未经基金管理人的指令，不得自行运用、处分、分配本基金的任何资产（不包含基金托管人依据中国证券登记结算有限责任公司结算数据完成场内交易交收、开户银行或交易/登记结算机构扣收交易费、结算费和账户维护费等费用）。</w:t>
      </w:r>
    </w:p>
    <w:p w14:paraId="37522775"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但基金托管人应予以必要的协助与配合。</w:t>
      </w:r>
    </w:p>
    <w:p w14:paraId="65C090CA"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7.除依据法律法规和《基金合同》的规定外，基金托管人不得委托第三人托管基金财产。</w:t>
      </w:r>
    </w:p>
    <w:p w14:paraId="277F74B2"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（二）基金募集期间及募集资金的验资</w:t>
      </w:r>
    </w:p>
    <w:p w14:paraId="5FAC85F0"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1.基金募集期间募集的资金应存于基金管理人在有托管资格的商业银行处开立的“基金募集专户”。该账户由基金管理人开立并管理。</w:t>
      </w:r>
    </w:p>
    <w:p w14:paraId="789B27A5" w14:textId="3681B280"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2.基金募集期满或基金停止募集时，发起资金的认购金额、发起资金提供方及其承诺的持有期限符合《基金法》、《运作办法》等有关规定后，基金管理人应将属于基金财产的全部资金划入基金托管人开立的基金托管资金账户，同时在规定时间内，聘请符合《中华人民共和国证券法》规定的会计师事务所进行验资，出具验资报告，验资报告需对发起资金提供方及其持有份额进行专门说明。出具的验资报告由参加验资的2名或2名以上中国注册会计师签字方为有效。</w:t>
      </w:r>
    </w:p>
    <w:p w14:paraId="734CCE83"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3.若基金募集期限届满或停止募集，未能达到《基金合同》生效的条件，由基金管理人按规定办理退款等事宜，基金托管人应予以必要的协助和配合。</w:t>
      </w:r>
    </w:p>
    <w:p w14:paraId="649B753E"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（三）基金托管资金账户的开立和管理</w:t>
      </w:r>
    </w:p>
    <w:p w14:paraId="3AEDBCE4"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1.基金托管人可以本基金的名义在其营业机构开立基金的托管资金账户，并根据基金管理人合法合规的指令办理资金收付。户名原则上应当包含开户主体和产品名称字样。如法律法规或监管部门另有规定的，从其规定。本基金的银行预留印鉴由基金托管人保管和使用。</w:t>
      </w:r>
    </w:p>
    <w:p w14:paraId="4D7449D9"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lastRenderedPageBreak/>
        <w:t>2.基金托管资金账户的开立和使用，限于满足开展本基金业务的需要。基金托管人和基金管理人不得假借本基金的名义开立任何其他银行账户；亦不得使用基金的任何账户进行本基金业务以外的活动。</w:t>
      </w:r>
    </w:p>
    <w:p w14:paraId="0141ED91"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3.基金托管资金账户的开立和管理应符合法律法规和银行业监督管理机构的有关规定。</w:t>
      </w:r>
    </w:p>
    <w:p w14:paraId="59437E15"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4.在符合法律法规规定的条件下，基金托管人可以通过基金托管人专用账户办理基金资产的支付。</w:t>
      </w:r>
    </w:p>
    <w:p w14:paraId="0D48E47E"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5</w:t>
      </w:r>
      <w:r>
        <w:rPr>
          <w:rFonts w:ascii="宋体" w:hAnsi="宋体" w:cs="Arial" w:hint="eastAsia"/>
          <w:color w:val="000000" w:themeColor="text1"/>
          <w:sz w:val="24"/>
        </w:rPr>
        <w:t>.基金管理人应于基金清算后及时完成收益兑付、费用结清及其他应收应付款项资金划转，在确保后续不再发生款项进出后的</w:t>
      </w:r>
      <w:r>
        <w:rPr>
          <w:rFonts w:ascii="宋体" w:hAnsi="宋体" w:cs="Arial"/>
          <w:color w:val="000000" w:themeColor="text1"/>
          <w:sz w:val="24"/>
        </w:rPr>
        <w:t>10个工作日内向</w:t>
      </w:r>
      <w:r>
        <w:rPr>
          <w:rFonts w:ascii="宋体" w:hAnsi="宋体" w:cs="Arial" w:hint="eastAsia"/>
          <w:color w:val="000000" w:themeColor="text1"/>
          <w:sz w:val="24"/>
        </w:rPr>
        <w:t>基金托管人发出销户申请。</w:t>
      </w:r>
    </w:p>
    <w:p w14:paraId="40727430"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（四）基金证券账户和结算备付金账户的开立和管理</w:t>
      </w:r>
    </w:p>
    <w:p w14:paraId="01E03B0B"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1.基金托管人在中国证券登记结算有限责任公司为基金开立基金托管人与基金联名的证券账户。</w:t>
      </w:r>
    </w:p>
    <w:p w14:paraId="1245D42A"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2.基金证券账户的开立和使用，仅限于满足开展本基金业务的需要。基金托管人和基金管理人不得出借或未经对方同意擅自转让基金的任何证券账户，亦不得</w:t>
      </w:r>
      <w:r>
        <w:rPr>
          <w:rFonts w:ascii="宋体" w:hAnsi="宋体" w:cs="Arial" w:hint="eastAsia"/>
          <w:color w:val="000000" w:themeColor="text1"/>
          <w:sz w:val="24"/>
        </w:rPr>
        <w:t>使用基金的任何账户进行本基金业务以外的活动。</w:t>
      </w:r>
    </w:p>
    <w:p w14:paraId="1BE90775"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3.基金证券账户的开立和证券账户卡的保管由基金托管人负责，账户资产的管理和运用由基金管理人负责。</w:t>
      </w:r>
    </w:p>
    <w:p w14:paraId="55CFE6D3"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证券账户开户费由基金管理人先行垫付</w:t>
      </w:r>
      <w:r>
        <w:rPr>
          <w:rFonts w:ascii="宋体" w:hAnsi="宋体" w:cs="Arial"/>
          <w:color w:val="000000" w:themeColor="text1"/>
          <w:sz w:val="24"/>
        </w:rPr>
        <w:t>,待本基金启始运营后,基金管理人可向基金托管人发送划款指令,将代垫开户费从本基金托管资金账户中扣还基金管理人。</w:t>
      </w:r>
      <w:r>
        <w:rPr>
          <w:rFonts w:ascii="宋体" w:hAnsi="宋体" w:cs="Arial" w:hint="eastAsia"/>
          <w:color w:val="000000" w:themeColor="text1"/>
          <w:sz w:val="24"/>
        </w:rPr>
        <w:t>账户开立后，基金托管人应及时将证券账户开通信息通知基金管理人。</w:t>
      </w:r>
    </w:p>
    <w:p w14:paraId="23D705E5"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w:t>
      </w:r>
      <w:r>
        <w:rPr>
          <w:rFonts w:ascii="宋体" w:hAnsi="宋体" w:cs="Arial" w:hint="eastAsia"/>
          <w:color w:val="000000" w:themeColor="text1"/>
          <w:sz w:val="24"/>
        </w:rPr>
        <w:t>收资金等的收取按照中国证券登记结算有限责任公司的规定以及基金管理人与基金托管人签署的《托管银行证券资金结算协议》执行。</w:t>
      </w:r>
    </w:p>
    <w:p w14:paraId="0B09E27C"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5、账户注销时，在遵守中国证券登记结算有限责任公司的相关规定下，由基金管理人和基金托管人协商确认主要办理人。账户注销期间，主要办理人如需另一方提供配合的，另一方应予以配合。</w:t>
      </w:r>
    </w:p>
    <w:p w14:paraId="15425CAE"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6.若中国证监会或其他监管机构在本托管协议订立日之后允许基金从事其他</w:t>
      </w:r>
      <w:r>
        <w:rPr>
          <w:rFonts w:ascii="宋体" w:hAnsi="宋体" w:cs="Arial"/>
          <w:color w:val="000000" w:themeColor="text1"/>
          <w:sz w:val="24"/>
        </w:rPr>
        <w:lastRenderedPageBreak/>
        <w:t>投资品种的投资业务，涉及相关账户的开立、使用的，若无相关规定，</w:t>
      </w:r>
      <w:r>
        <w:rPr>
          <w:rFonts w:ascii="宋体" w:hAnsi="宋体" w:cs="Arial" w:hint="eastAsia"/>
          <w:color w:val="000000" w:themeColor="text1"/>
          <w:sz w:val="24"/>
        </w:rPr>
        <w:t>则基金托管人比照上述关于账户开立、使用的规定执行。</w:t>
      </w:r>
    </w:p>
    <w:p w14:paraId="2DEA4A71"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（五）银行间账户的开设和管理</w:t>
      </w:r>
    </w:p>
    <w:p w14:paraId="1036929E"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w:t>
      </w:r>
    </w:p>
    <w:p w14:paraId="12343E67" w14:textId="28A9A275"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（六）期货账户的开设和管理</w:t>
      </w:r>
    </w:p>
    <w:p w14:paraId="37FC097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管理人应当代表本基金，按照相关规定配合期货经营机构开立期货结算账户、期货资金账户，并在中国金融期货交易所获取交易编码。期货结算账户名称、期货资金账户名称及交易编码对应名称应按照有关规定设立，具体根据签署的《期货投资托管操作三方备忘录》开立和管理。</w:t>
      </w:r>
    </w:p>
    <w:p w14:paraId="18A36867" w14:textId="0ECA20B3"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（七）其他账户的开立和管理</w:t>
      </w:r>
    </w:p>
    <w:p w14:paraId="4FE9095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1.在本托管协议订立日之后，本基金被允许从事符合法律法规规定和《基金合同》约定的其他投资品种的投资业务时，如果涉及相关账户的开设和使用，由基金管理人协助基金托管人根据有关法律法规的规定和《基金合同》的约定，开立有关账户。该账户按有关规则使用并管理。</w:t>
      </w:r>
    </w:p>
    <w:p w14:paraId="3A17305C"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2.法律法规等有关规定对相关账户的开立和管理另有规定的，从其规定办理。</w:t>
      </w:r>
    </w:p>
    <w:p w14:paraId="26A6FB49" w14:textId="7B551D5C"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（八）基金财产投资的有关有价凭证等的保管</w:t>
      </w:r>
    </w:p>
    <w:p w14:paraId="6F02EC65" w14:textId="3ACD8E80" w:rsidR="00DF5F45" w:rsidRDefault="00153BE1">
      <w:pPr>
        <w:adjustRightInd w:val="0"/>
        <w:snapToGrid w:val="0"/>
        <w:spacing w:line="360" w:lineRule="auto"/>
        <w:ind w:firstLineChars="200" w:firstLine="480"/>
        <w:rPr>
          <w:rFonts w:ascii="宋体" w:hAnsi="宋体" w:cs="Arial"/>
          <w:color w:val="000000" w:themeColor="text1"/>
        </w:rPr>
      </w:pPr>
      <w:r>
        <w:rPr>
          <w:rFonts w:ascii="宋体" w:hAnsi="宋体" w:cs="Arial" w:hint="eastAsia"/>
          <w:color w:val="000000" w:themeColor="text1"/>
          <w:sz w:val="24"/>
        </w:rPr>
        <w:t>基金财产投资的有关实物证券、银行</w:t>
      </w:r>
      <w:r>
        <w:rPr>
          <w:rFonts w:ascii="宋体" w:hAnsi="宋体" w:hint="eastAsia"/>
          <w:color w:val="000000" w:themeColor="text1"/>
          <w:sz w:val="24"/>
        </w:rPr>
        <w:t>存款开户证实书</w:t>
      </w:r>
      <w:r>
        <w:rPr>
          <w:rFonts w:ascii="宋体" w:hAnsi="宋体" w:cs="Arial" w:hint="eastAsia"/>
          <w:color w:val="000000" w:themeColor="text1"/>
          <w:sz w:val="24"/>
        </w:rPr>
        <w:t>等有价凭证由基金托管人存放于基金托管人的保管库，也可存入法律法规有关规定允许的各类代保管库，保管凭证由基金托管人持有。实物证券、银行定期存款证实书等有价凭证的购买和转让，按基金管理人和基金托管人双方约定办理。基金托管人对由基金托管人以外机构实际有效控制或保管的资产不承担</w:t>
      </w:r>
      <w:r w:rsidR="006730F4">
        <w:rPr>
          <w:rFonts w:ascii="宋体" w:hAnsi="宋体" w:cs="Arial" w:hint="eastAsia"/>
          <w:color w:val="000000" w:themeColor="text1"/>
          <w:sz w:val="24"/>
        </w:rPr>
        <w:t>任何</w:t>
      </w:r>
      <w:r>
        <w:rPr>
          <w:rFonts w:ascii="宋体" w:hAnsi="宋体" w:cs="Arial" w:hint="eastAsia"/>
          <w:color w:val="000000" w:themeColor="text1"/>
          <w:sz w:val="24"/>
        </w:rPr>
        <w:t>责任。</w:t>
      </w:r>
    </w:p>
    <w:p w14:paraId="5E33C677" w14:textId="7AE08B61"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sidR="001B6FFE">
        <w:rPr>
          <w:rFonts w:ascii="宋体" w:hAnsi="宋体" w:cs="Arial" w:hint="eastAsia"/>
          <w:color w:val="000000" w:themeColor="text1"/>
          <w:sz w:val="24"/>
        </w:rPr>
        <w:t>九</w:t>
      </w:r>
      <w:r>
        <w:rPr>
          <w:rFonts w:ascii="宋体" w:hAnsi="宋体" w:cs="Arial" w:hint="eastAsia"/>
          <w:color w:val="000000" w:themeColor="text1"/>
          <w:sz w:val="24"/>
        </w:rPr>
        <w:t>）与基金财产有关的重大合同的保管</w:t>
      </w:r>
    </w:p>
    <w:p w14:paraId="0351B31A"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由基金管理人代表基金签署的、与基金财产有关的重大合同的原件分别由基金管理人、基金托管人保管。除本协议另有规定外，基金管理人在代表基金签署与基金财产有关的重大合同时，应保证一方持有两份以上的正本，以保证基金管理人和基金托管人至少各持有一份正本的原件。基金管理人应在重大合同签署后及时将重大合同传真给基金托管人，并在三十个工作日内将正本送达基金托管人</w:t>
      </w:r>
      <w:r>
        <w:rPr>
          <w:rFonts w:ascii="宋体" w:hAnsi="宋体" w:cs="Arial" w:hint="eastAsia"/>
          <w:color w:val="000000" w:themeColor="text1"/>
          <w:sz w:val="24"/>
        </w:rPr>
        <w:lastRenderedPageBreak/>
        <w:t>处。重大合同的保管期限按照法律法规的规定执行。</w:t>
      </w:r>
    </w:p>
    <w:p w14:paraId="7050A730" w14:textId="77777777" w:rsidR="00DF5F45" w:rsidRDefault="00DF5F45">
      <w:pPr>
        <w:spacing w:line="360" w:lineRule="auto"/>
        <w:rPr>
          <w:rFonts w:ascii="宋体" w:hAnsi="宋体"/>
          <w:color w:val="000000" w:themeColor="text1"/>
          <w:sz w:val="24"/>
        </w:rPr>
      </w:pPr>
    </w:p>
    <w:p w14:paraId="612AC5DD" w14:textId="77777777" w:rsidR="00DF5F45" w:rsidRDefault="00153BE1">
      <w:pPr>
        <w:pStyle w:val="2"/>
        <w:spacing w:line="360" w:lineRule="auto"/>
        <w:jc w:val="center"/>
        <w:rPr>
          <w:rFonts w:ascii="宋体" w:eastAsia="宋体" w:hAnsi="宋体"/>
          <w:color w:val="000000" w:themeColor="text1"/>
          <w:sz w:val="30"/>
        </w:rPr>
      </w:pPr>
      <w:bookmarkStart w:id="44" w:name="_Toc86649724"/>
      <w:bookmarkStart w:id="45" w:name="_Toc110830494"/>
      <w:bookmarkStart w:id="46" w:name="_Toc118774805"/>
      <w:bookmarkStart w:id="47" w:name="_Toc84234436"/>
      <w:bookmarkStart w:id="48" w:name="_Toc86727357"/>
      <w:bookmarkStart w:id="49" w:name="_Toc86225293"/>
      <w:bookmarkStart w:id="50" w:name="_Toc119402712"/>
      <w:bookmarkStart w:id="51" w:name="_Toc84234389"/>
      <w:bookmarkStart w:id="52" w:name="_Toc84133787"/>
      <w:bookmarkStart w:id="53" w:name="_Toc124325890"/>
      <w:bookmarkStart w:id="54" w:name="_Toc89163370"/>
      <w:bookmarkStart w:id="55" w:name="_Toc86223244"/>
      <w:bookmarkStart w:id="56" w:name="_Toc86737931"/>
      <w:bookmarkStart w:id="57" w:name="_Toc86726441"/>
      <w:bookmarkStart w:id="58" w:name="_Toc120435785"/>
      <w:bookmarkStart w:id="59" w:name="_Toc118212952"/>
      <w:bookmarkStart w:id="60" w:name="_Toc110765662"/>
      <w:bookmarkStart w:id="61" w:name="_Toc118972650"/>
      <w:bookmarkStart w:id="62" w:name="_Toc110761798"/>
      <w:bookmarkStart w:id="63" w:name="_Toc86204790"/>
      <w:bookmarkStart w:id="64" w:name="_Toc108512360"/>
      <w:r>
        <w:rPr>
          <w:rFonts w:ascii="宋体" w:eastAsia="宋体" w:hAnsi="宋体" w:hint="eastAsia"/>
          <w:color w:val="000000" w:themeColor="text1"/>
          <w:sz w:val="30"/>
        </w:rPr>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40F58F91"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基金管理人在运用基金财产时向基金托管人发送资金划拨及其他款项付款指令，基金托管人执行基金管理人的指令、办理基金名下的资金往来等有关事项。</w:t>
      </w:r>
    </w:p>
    <w:p w14:paraId="2791972D"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（一）基金管理人对发送指令人员的书面授权</w:t>
      </w:r>
    </w:p>
    <w:p w14:paraId="5000A67A"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本协议签署生效后，基金管理人应向基金托管人提供授权代表签字与印鉴样本通知书（以下简称“授权文件”），内容包括被授权人名单、预留印鉴及被授权人签字样本，授权文件应注明被授权人相应的权限，授权文件应加盖单位公章。</w:t>
      </w:r>
    </w:p>
    <w:p w14:paraId="43FF66DE"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管理人应将“授权文件”原件在生效前寄送基金托管人，基金托管人在收到授权文件原件并经与基金管理人确认后，授权文件即生效。如果授权文件中载明具体生效时间的，该生效时间不得早于基金托管人收到授权文件并经确认的时点。如早于，则以基金托管人收到授权文件并经确认的时点为授权文件的生效时间。</w:t>
      </w:r>
    </w:p>
    <w:p w14:paraId="381A369B"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特殊情况下，经基金托管人同意，基金管理人可至少提前一个工作日将授权文件以邮件发送扫描件的方式先行通知基金托管人并确认生效。授权文件原件应在邮件发送后7个工作日内送达基金托管人。授权文件生效之后，原件送达之前，基金托管人按照新授权文件扫描件内容执行有关业务，如果授权文件原件与基金托管人收到的扫描件不同，由此产生的责任由基金管理人承担。</w:t>
      </w:r>
    </w:p>
    <w:p w14:paraId="60AD979F"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基金管理人更换被授权人、更改或终止对被授权人的授权、变更预留印鉴应按上述要求提供新的授权文件。在授权变更生效前，基金托管人仍应按原授权文件执行指令，基金管理人不得否认其效力。</w:t>
      </w:r>
    </w:p>
    <w:p w14:paraId="4E55349D"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基金托管人更换接受基金管理人指令的传真号或邮箱地址，应提前通知基金管理人。</w:t>
      </w:r>
    </w:p>
    <w:p w14:paraId="7779E195"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基金管理人和基金托管人对授权文件负有保密义务，其内容不得向授权人、被授权人及相关操作人员以外的任何人泄露。但法律法规规定或有权机关要求的除外。</w:t>
      </w:r>
    </w:p>
    <w:p w14:paraId="19CFF9A8"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（二）指令的内容</w:t>
      </w:r>
    </w:p>
    <w:p w14:paraId="5AA9647E"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lastRenderedPageBreak/>
        <w:t>1.指令包括付款指令以及其他资金划拨指令等。</w:t>
      </w:r>
    </w:p>
    <w:p w14:paraId="2F811409"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2.基金管理人发给基金托管人的指令应写明款项事由、支付时间、到账时间、金额、收付款账户等，加盖预留印鉴并由被授权人签字</w:t>
      </w:r>
      <w:r>
        <w:rPr>
          <w:rFonts w:ascii="宋体" w:hAnsi="宋体" w:cs="Arial" w:hint="eastAsia"/>
          <w:color w:val="000000" w:themeColor="text1"/>
          <w:sz w:val="24"/>
        </w:rPr>
        <w:t>或盖章</w:t>
      </w:r>
      <w:r>
        <w:rPr>
          <w:rFonts w:ascii="宋体" w:hAnsi="宋体" w:cs="Arial"/>
          <w:color w:val="000000" w:themeColor="text1"/>
          <w:sz w:val="24"/>
        </w:rPr>
        <w:t>。</w:t>
      </w:r>
    </w:p>
    <w:p w14:paraId="05EA6415"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（三）指令的发送、确认及执行的时间和程序</w:t>
      </w:r>
    </w:p>
    <w:p w14:paraId="0C0E1FB2"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1.指令的发送</w:t>
      </w:r>
    </w:p>
    <w:p w14:paraId="14E2ADA2"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基金管理人发送指令应采用传真方式或双方协商一致的其他方式。</w:t>
      </w:r>
    </w:p>
    <w:p w14:paraId="572BDBA5"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489620D5"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指令发出后，基金管理人应及时以电话方式向基金托管人确认。</w:t>
      </w:r>
    </w:p>
    <w:p w14:paraId="427667B1"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hint="eastAsia"/>
          <w:color w:val="000000" w:themeColor="text1"/>
          <w:sz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14:paraId="5374C2BF"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2.指令的确认</w:t>
      </w:r>
    </w:p>
    <w:p w14:paraId="4160043C"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1B8F4C63"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3.指令的时间和执行</w:t>
      </w:r>
    </w:p>
    <w:p w14:paraId="63723C97" w14:textId="77777777" w:rsidR="00DF5F45" w:rsidRDefault="00153BE1">
      <w:pPr>
        <w:pStyle w:val="a6"/>
        <w:spacing w:line="360" w:lineRule="auto"/>
        <w:ind w:firstLineChars="0"/>
        <w:rPr>
          <w:rFonts w:ascii="宋体" w:hAnsi="宋体"/>
          <w:color w:val="000000" w:themeColor="text1"/>
          <w:shd w:val="pct10" w:color="auto" w:fill="FFFFFF"/>
        </w:rPr>
      </w:pPr>
      <w:r>
        <w:rPr>
          <w:rFonts w:ascii="宋体" w:eastAsia="宋体" w:hAnsi="宋体" w:cs="Arial" w:hint="eastAsia"/>
          <w:color w:val="000000" w:themeColor="text1"/>
        </w:rPr>
        <w:t>基金管理人尽量于划款前</w:t>
      </w:r>
      <w:r>
        <w:rPr>
          <w:rFonts w:ascii="宋体" w:eastAsia="宋体" w:hAnsi="宋体" w:cs="Arial"/>
          <w:color w:val="000000" w:themeColor="text1"/>
        </w:rPr>
        <w:t>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确保</w:t>
      </w:r>
      <w:r>
        <w:rPr>
          <w:rFonts w:ascii="宋体" w:eastAsia="宋体" w:hAnsi="宋体" w:cs="Arial" w:hint="eastAsia"/>
          <w:color w:val="000000" w:themeColor="text1"/>
        </w:rPr>
        <w:t>相关付款条件已经具备。基金托管人将视付款条件具备时为指令送达时间。对新股申购网下发行业务，基金管理人应在网下申购缴款日</w:t>
      </w:r>
      <w:r>
        <w:rPr>
          <w:rFonts w:ascii="宋体" w:eastAsia="宋体" w:hAnsi="宋体" w:cs="Arial"/>
          <w:color w:val="000000" w:themeColor="text1"/>
        </w:rPr>
        <w:t>(T日)的前一工作日下班前将指令发送给基金托管人，指令发送</w:t>
      </w:r>
      <w:r>
        <w:rPr>
          <w:rFonts w:ascii="宋体" w:eastAsia="宋体" w:hAnsi="宋体" w:cs="Arial"/>
          <w:color w:val="000000" w:themeColor="text1"/>
        </w:rPr>
        <w:lastRenderedPageBreak/>
        <w:t>时间最迟不应晚于T日上午10:00。</w:t>
      </w:r>
      <w:r>
        <w:rPr>
          <w:rFonts w:ascii="宋体" w:eastAsia="宋体" w:hAnsi="宋体" w:cs="Arial" w:hint="eastAsia"/>
          <w:color w:val="000000" w:themeColor="text1"/>
          <w:szCs w:val="24"/>
        </w:rPr>
        <w:t>基金管理人应确保基金托管人在执行指令时，基金托管资金账户有足够的资金余额，</w:t>
      </w:r>
      <w:r>
        <w:rPr>
          <w:rFonts w:ascii="宋体" w:eastAsia="宋体" w:hAnsi="宋体" w:cs="Arial" w:hint="eastAsia"/>
          <w:color w:val="000000" w:themeColor="text1"/>
        </w:rPr>
        <w:t>在基金资金头寸充足的情况下，基金托管人对基金管理人符合法律法规、《基金合同》、本协议的指令不得拖延或拒绝执行。</w:t>
      </w:r>
    </w:p>
    <w:p w14:paraId="308B69C3" w14:textId="77777777" w:rsidR="00DF5F45" w:rsidRDefault="00153BE1">
      <w:pPr>
        <w:pStyle w:val="a6"/>
        <w:spacing w:line="360" w:lineRule="auto"/>
        <w:ind w:firstLineChars="0"/>
        <w:rPr>
          <w:rFonts w:ascii="宋体" w:eastAsia="宋体" w:hAnsi="宋体" w:cs="Arial"/>
          <w:color w:val="000000" w:themeColor="text1"/>
        </w:rPr>
      </w:pPr>
      <w:r>
        <w:rPr>
          <w:rFonts w:ascii="宋体" w:eastAsia="宋体" w:hAnsi="宋体" w:cs="Arial" w:hint="eastAsia"/>
          <w:color w:val="000000" w:themeColor="text1"/>
        </w:rPr>
        <w:t>（四）基金管理人发送错误指令的情形和处理程序</w:t>
      </w:r>
    </w:p>
    <w:p w14:paraId="6F652FCF"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基金管理人发送错误指令的情形包括指令违反法律法规、监管规定、《基金合同》或本协议的约定，或指令发送人员无权或超越权限发送指令。</w:t>
      </w:r>
    </w:p>
    <w:p w14:paraId="17E80D77"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基金托管人发现基金管理人的指令错误时，有权视情况暂缓或拒绝执行，并及时通知基金管理人改正。如需基金托管人撤销尚未执行的指令，基金管理人应出具作废指令或作废说明，并电话通知基金托管人。</w:t>
      </w:r>
    </w:p>
    <w:p w14:paraId="3C594C0C"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（五）基金托管人未按照基金管理人指令执行的处理方法</w:t>
      </w:r>
    </w:p>
    <w:p w14:paraId="48C73C94"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基金托管人由于自身过错，未按照基金管理人发送的符合法律法规、监管规定、《基金合同》和本协议约定的指令执行并对基金财产或投资人造成的直接损失，由基金托管人</w:t>
      </w:r>
      <w:r>
        <w:rPr>
          <w:rFonts w:ascii="宋体" w:hAnsi="宋体" w:hint="eastAsia"/>
          <w:color w:val="000000" w:themeColor="text1"/>
          <w:sz w:val="24"/>
        </w:rPr>
        <w:t>赔偿由此造成的直接损失。</w:t>
      </w:r>
    </w:p>
    <w:p w14:paraId="6A76DF63"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（六）其他事项</w:t>
      </w:r>
    </w:p>
    <w:p w14:paraId="6D64C6A8"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托管人在接收指令时，应对指令的要素是否齐全、印鉴与被授权人是否与预留的授权文件内容表面相符进行检查，如发现问题，应及时报告基金管理人，基金托管人对正确、及时执行基金管理人的有效指令对基金财产造成的损失不承担赔偿责任。</w:t>
      </w:r>
    </w:p>
    <w:p w14:paraId="4E26183C"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基金参与认购未上市债券时，基金管理人应代表本基金与对手方签署相关合同或协议，明确约定债券过户具体事宜。否则，基金管理人需对所认购债券的过户事宜承担相应责任。</w:t>
      </w:r>
    </w:p>
    <w:p w14:paraId="267CA3B8" w14:textId="77777777" w:rsidR="00DF5F45" w:rsidRDefault="00DF5F45">
      <w:pPr>
        <w:adjustRightInd w:val="0"/>
        <w:snapToGrid w:val="0"/>
        <w:spacing w:line="360" w:lineRule="auto"/>
        <w:rPr>
          <w:rFonts w:ascii="宋体" w:hAnsi="宋体" w:cs="Arial"/>
          <w:color w:val="000000" w:themeColor="text1"/>
          <w:sz w:val="24"/>
        </w:rPr>
      </w:pPr>
    </w:p>
    <w:p w14:paraId="16A18F3B" w14:textId="77777777" w:rsidR="00DF5F45" w:rsidRDefault="00153BE1">
      <w:pPr>
        <w:pStyle w:val="2"/>
        <w:spacing w:line="360" w:lineRule="auto"/>
        <w:jc w:val="center"/>
        <w:rPr>
          <w:rFonts w:ascii="宋体" w:eastAsia="宋体" w:hAnsi="宋体"/>
          <w:color w:val="000000" w:themeColor="text1"/>
          <w:sz w:val="30"/>
        </w:rPr>
      </w:pPr>
      <w:bookmarkStart w:id="65" w:name="_Toc118212953"/>
      <w:bookmarkStart w:id="66" w:name="_Toc118972651"/>
      <w:bookmarkStart w:id="67" w:name="_Toc86225294"/>
      <w:bookmarkStart w:id="68" w:name="_Toc110830495"/>
      <w:bookmarkStart w:id="69" w:name="_Toc89163371"/>
      <w:bookmarkStart w:id="70" w:name="_Toc84133788"/>
      <w:bookmarkStart w:id="71" w:name="_Toc124325891"/>
      <w:bookmarkStart w:id="72" w:name="_Toc108512361"/>
      <w:bookmarkStart w:id="73" w:name="_Toc110765663"/>
      <w:bookmarkStart w:id="74" w:name="_Toc86727358"/>
      <w:bookmarkStart w:id="75" w:name="_Toc119402713"/>
      <w:bookmarkStart w:id="76" w:name="_Toc86204791"/>
      <w:bookmarkStart w:id="77" w:name="_Toc86737932"/>
      <w:bookmarkStart w:id="78" w:name="_Toc86649725"/>
      <w:bookmarkStart w:id="79" w:name="_Toc118774806"/>
      <w:bookmarkStart w:id="80" w:name="_Toc84234390"/>
      <w:bookmarkStart w:id="81" w:name="_Toc84234437"/>
      <w:bookmarkStart w:id="82" w:name="_Toc86223245"/>
      <w:bookmarkStart w:id="83" w:name="_Toc120435786"/>
      <w:bookmarkStart w:id="84" w:name="_Toc86726442"/>
      <w:bookmarkStart w:id="85" w:name="_Toc110761799"/>
      <w:r>
        <w:rPr>
          <w:rFonts w:ascii="宋体" w:eastAsia="宋体" w:hAnsi="宋体" w:hint="eastAsia"/>
          <w:color w:val="000000" w:themeColor="text1"/>
          <w:sz w:val="30"/>
        </w:rPr>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4F00858D"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本基金参与交易所场内证券投资，采取托管人结算模式，基金管理人与基金托管人应根据有关法律法规及相关业务规则，签订《托管银行证券资金结算协议》用以具体明确基金管理人与基金托管人在证券交易资金结算（含港股通）业务中的程序与责任。协议签署前，基金管理人应按基金托管人要求配合提供相应准入</w:t>
      </w:r>
      <w:r>
        <w:rPr>
          <w:rFonts w:ascii="宋体" w:hAnsi="宋体" w:cs="Arial" w:hint="eastAsia"/>
          <w:color w:val="000000" w:themeColor="text1"/>
          <w:sz w:val="24"/>
        </w:rPr>
        <w:lastRenderedPageBreak/>
        <w:t>材料。</w:t>
      </w:r>
    </w:p>
    <w:p w14:paraId="62105820"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（一）选择证券</w:t>
      </w:r>
      <w:r>
        <w:rPr>
          <w:rFonts w:ascii="宋体" w:hAnsi="宋体" w:cs="Arial"/>
          <w:color w:val="000000" w:themeColor="text1"/>
          <w:sz w:val="24"/>
        </w:rPr>
        <w:t>/期货买卖的证券/期货经纪机构</w:t>
      </w:r>
    </w:p>
    <w:p w14:paraId="28119EAA"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管理人应设计选择证券买卖的证券经营机构的标准和程序。基金管理人负责选择证券经营机构，租用其交易单元作为基金的专用交易单元。基金管理人和被选中的证券经营机构签订交易单元租用协议，基金管理人应提前通知基金托管人，并依据基金托管人要求提供相关资料，以便基金托管人申请办理接收结算数据手续。基金管理人应根据有关规定，在基金的中期报告和年度报告中将所选证券经营机构的有关情况及交易信息予以披露，并将该等情况及基金交易单元号、佣金费率等基本信息以及变更情况及时以书面形式通知基金托管人。</w:t>
      </w:r>
    </w:p>
    <w:p w14:paraId="4700ADD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本基金在开始进行期货投资之前，基金管理人应与基金托管人、期货公司三方一同就期货开户、清算、估值、交收等事宜另行签署《期货投资托管操作三方备忘录》。</w:t>
      </w:r>
    </w:p>
    <w:p w14:paraId="0019A890" w14:textId="13500200"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基金开立衍生品合约账户后，再通过该证券公司（或期货公司）参与期权交易。</w:t>
      </w:r>
    </w:p>
    <w:p w14:paraId="73644A2A"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因相关法律法规或交易规则的修改带来的变化以届时有效的法律法规和相关交易规则为准。</w:t>
      </w:r>
    </w:p>
    <w:p w14:paraId="697E33C1"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（二）基金投资证券后的清算交收安排</w:t>
      </w:r>
    </w:p>
    <w:p w14:paraId="29945C64"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1.结算备付金与保证金</w:t>
      </w:r>
    </w:p>
    <w:p w14:paraId="3BA923AC"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中国证券登记结算有限责任公司分别于每月前</w:t>
      </w:r>
      <w:r>
        <w:rPr>
          <w:rFonts w:ascii="宋体" w:hAnsi="宋体" w:cs="Arial"/>
          <w:color w:val="000000" w:themeColor="text1"/>
          <w:sz w:val="24"/>
        </w:rPr>
        <w:t>6个交易日及每月前3个交易日内，对结算参与人最低备付金限额与结算保证金限额进行重新核算、调整。基金托管人应分别于每月前3个交易日内及结算保证金调整当日通过《资金账户报告》通知基金管理人本基金最低备付金调整金额以及调整后的结算保证金金额。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视基金托管人最低结算备付金比例计收方式分别于下列时点补足透支金额：</w:t>
      </w:r>
    </w:p>
    <w:p w14:paraId="62CA51ED"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1）固定备付金比例计收方式下，基金管理人应在调整最低备付金、结算保证金当日上午11：00之前补足金额。</w:t>
      </w:r>
    </w:p>
    <w:p w14:paraId="06B5E624"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lastRenderedPageBreak/>
        <w:t>（</w:t>
      </w:r>
      <w:r>
        <w:rPr>
          <w:rFonts w:ascii="宋体" w:hAnsi="宋体" w:cs="Arial"/>
          <w:color w:val="000000" w:themeColor="text1"/>
          <w:sz w:val="24"/>
        </w:rPr>
        <w:t>2）差异化备付金比例计收方式下，基金管理人应最晚于资金交收日上午8：30前补足金额。</w:t>
      </w:r>
    </w:p>
    <w:p w14:paraId="0B4A9BE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2.清算交收</w:t>
      </w:r>
    </w:p>
    <w:p w14:paraId="2747DE5F" w14:textId="77777777" w:rsidR="000737B4" w:rsidRPr="00931FC3" w:rsidRDefault="000737B4" w:rsidP="00931FC3">
      <w:pPr>
        <w:adjustRightInd w:val="0"/>
        <w:snapToGrid w:val="0"/>
        <w:spacing w:line="360" w:lineRule="auto"/>
        <w:ind w:firstLineChars="200" w:firstLine="480"/>
        <w:rPr>
          <w:rFonts w:ascii="宋体" w:hAnsi="宋体" w:cs="Arial"/>
          <w:color w:val="000000" w:themeColor="text1"/>
          <w:sz w:val="24"/>
        </w:rPr>
      </w:pPr>
      <w:r w:rsidRPr="00931FC3">
        <w:rPr>
          <w:rFonts w:ascii="宋体" w:hAnsi="宋体" w:cs="Arial" w:hint="eastAsia"/>
          <w:color w:val="000000" w:themeColor="text1"/>
          <w:sz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0B2AA161" w14:textId="0A1CA695" w:rsidR="000737B4" w:rsidRPr="00931FC3" w:rsidRDefault="000737B4" w:rsidP="00931FC3">
      <w:pPr>
        <w:adjustRightInd w:val="0"/>
        <w:snapToGrid w:val="0"/>
        <w:spacing w:line="360" w:lineRule="auto"/>
        <w:ind w:firstLineChars="200" w:firstLine="480"/>
        <w:rPr>
          <w:rFonts w:ascii="宋体" w:hAnsi="宋体" w:cs="Arial"/>
          <w:color w:val="000000" w:themeColor="text1"/>
          <w:sz w:val="24"/>
        </w:rPr>
      </w:pPr>
      <w:r w:rsidRPr="00931FC3">
        <w:rPr>
          <w:rFonts w:ascii="宋体" w:hAnsi="宋体" w:cs="Arial" w:hint="eastAsia"/>
          <w:color w:val="000000" w:themeColor="text1"/>
          <w:sz w:val="24"/>
        </w:rPr>
        <w:t>如果因为基金托管人自身过错在清算上造成基金财产的直接损失，应由基金托管人负责赔偿，但因中国人民银行、中国结算和银行间市场登记结算机构资金结算系统以及其他机构的结算系统发生故障等非基金托管人可以控制的因素造成清算资金无法按时到账的情形，基金托管人不承担任何责任；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在预清算结束后</w:t>
      </w:r>
      <w:r w:rsidR="00D3764E">
        <w:rPr>
          <w:rFonts w:ascii="宋体" w:hAnsi="宋体" w:cs="Arial" w:hint="eastAsia"/>
          <w:color w:val="000000" w:themeColor="text1"/>
          <w:sz w:val="24"/>
        </w:rPr>
        <w:t>应</w:t>
      </w:r>
      <w:r w:rsidRPr="00931FC3">
        <w:rPr>
          <w:rFonts w:ascii="宋体" w:hAnsi="宋体" w:cs="Arial" w:hint="eastAsia"/>
          <w:color w:val="000000" w:themeColor="text1"/>
          <w:sz w:val="24"/>
        </w:rPr>
        <w:t>通知基金管理人预透支和预欠库事项，基金管理人应保持联系方式畅通，后续补缴等事宜由基金管理人负责解决，由此给基金托管人、本基金和基金托管人托管的其他资产造成的直接损失由基金管理人承担。</w:t>
      </w:r>
    </w:p>
    <w:p w14:paraId="7D7DC8EC" w14:textId="77777777" w:rsidR="000737B4" w:rsidRPr="00931FC3" w:rsidRDefault="000737B4" w:rsidP="00931FC3">
      <w:pPr>
        <w:adjustRightInd w:val="0"/>
        <w:snapToGrid w:val="0"/>
        <w:spacing w:line="360" w:lineRule="auto"/>
        <w:ind w:firstLineChars="200" w:firstLine="480"/>
        <w:rPr>
          <w:rFonts w:ascii="宋体" w:hAnsi="宋体" w:cs="Arial"/>
          <w:color w:val="000000" w:themeColor="text1"/>
          <w:sz w:val="24"/>
        </w:rPr>
      </w:pPr>
      <w:r w:rsidRPr="00931FC3">
        <w:rPr>
          <w:rFonts w:ascii="宋体" w:hAnsi="宋体" w:cs="Arial" w:hint="eastAsia"/>
          <w:color w:val="000000" w:themeColor="text1"/>
          <w:sz w:val="24"/>
        </w:rPr>
        <w:t>基金管理人应采取合理、必要措施，确保</w:t>
      </w:r>
      <w:r w:rsidRPr="00931FC3">
        <w:rPr>
          <w:rFonts w:ascii="宋体" w:hAnsi="宋体" w:cs="Arial"/>
          <w:color w:val="000000" w:themeColor="text1"/>
          <w:sz w:val="24"/>
        </w:rPr>
        <w:t>T日日终有足够的资金头寸完成 T+1日中国证券登记结算有限责任公司的资金交收；如因基金管理人原因导致资金头寸不足，基金管理人应视基金托管人</w:t>
      </w:r>
      <w:r w:rsidRPr="00931FC3">
        <w:rPr>
          <w:rFonts w:ascii="宋体" w:hAnsi="宋体" w:cs="Arial" w:hint="eastAsia"/>
          <w:color w:val="000000" w:themeColor="text1"/>
          <w:sz w:val="24"/>
        </w:rPr>
        <w:t>最低结算备付金比例计收方式分别于下列时点补足透支金额：</w:t>
      </w:r>
    </w:p>
    <w:p w14:paraId="5D91F8E6" w14:textId="77777777" w:rsidR="000737B4" w:rsidRPr="00931FC3" w:rsidRDefault="000737B4" w:rsidP="00931FC3">
      <w:pPr>
        <w:adjustRightInd w:val="0"/>
        <w:snapToGrid w:val="0"/>
        <w:spacing w:line="360" w:lineRule="auto"/>
        <w:ind w:firstLineChars="200" w:firstLine="480"/>
        <w:rPr>
          <w:rFonts w:ascii="宋体" w:hAnsi="宋体" w:cs="Arial"/>
          <w:color w:val="000000" w:themeColor="text1"/>
          <w:sz w:val="24"/>
        </w:rPr>
      </w:pPr>
      <w:r w:rsidRPr="00931FC3">
        <w:rPr>
          <w:rFonts w:ascii="宋体" w:hAnsi="宋体" w:cs="Arial" w:hint="eastAsia"/>
          <w:color w:val="000000" w:themeColor="text1"/>
          <w:sz w:val="24"/>
        </w:rPr>
        <w:t>（</w:t>
      </w:r>
      <w:r w:rsidRPr="00931FC3">
        <w:rPr>
          <w:rFonts w:ascii="宋体" w:hAnsi="宋体" w:cs="Arial"/>
          <w:color w:val="000000" w:themeColor="text1"/>
          <w:sz w:val="24"/>
        </w:rPr>
        <w:t>1）固定备付金比例计收方式下，</w:t>
      </w:r>
      <w:r w:rsidRPr="00931FC3">
        <w:rPr>
          <w:rFonts w:ascii="宋体" w:hAnsi="宋体" w:cs="Arial" w:hint="eastAsia"/>
          <w:color w:val="000000" w:themeColor="text1"/>
          <w:sz w:val="24"/>
        </w:rPr>
        <w:t>基金</w:t>
      </w:r>
      <w:r w:rsidRPr="00931FC3">
        <w:rPr>
          <w:rFonts w:ascii="宋体" w:hAnsi="宋体" w:cs="Arial"/>
          <w:color w:val="000000" w:themeColor="text1"/>
          <w:sz w:val="24"/>
        </w:rPr>
        <w:t>管理人应</w:t>
      </w:r>
      <w:r w:rsidRPr="00931FC3">
        <w:rPr>
          <w:rFonts w:ascii="宋体" w:hAnsi="宋体" w:cs="Arial" w:hint="eastAsia"/>
          <w:color w:val="000000" w:themeColor="text1"/>
          <w:sz w:val="24"/>
        </w:rPr>
        <w:t>最晚于资金交收日上午</w:t>
      </w:r>
      <w:r w:rsidRPr="00931FC3">
        <w:rPr>
          <w:rFonts w:ascii="宋体" w:hAnsi="宋体" w:cs="Arial"/>
          <w:color w:val="000000" w:themeColor="text1"/>
          <w:sz w:val="24"/>
        </w:rPr>
        <w:t>11</w:t>
      </w:r>
      <w:r w:rsidRPr="00931FC3">
        <w:rPr>
          <w:rFonts w:ascii="宋体" w:hAnsi="宋体" w:cs="Arial" w:hint="eastAsia"/>
          <w:color w:val="000000" w:themeColor="text1"/>
          <w:sz w:val="24"/>
        </w:rPr>
        <w:t>：</w:t>
      </w:r>
      <w:r w:rsidRPr="00931FC3">
        <w:rPr>
          <w:rFonts w:ascii="宋体" w:hAnsi="宋体" w:cs="Arial"/>
          <w:color w:val="000000" w:themeColor="text1"/>
          <w:sz w:val="24"/>
        </w:rPr>
        <w:t>00前补足金额。</w:t>
      </w:r>
    </w:p>
    <w:p w14:paraId="44067070" w14:textId="77777777" w:rsidR="000737B4" w:rsidRPr="00931FC3" w:rsidRDefault="000737B4" w:rsidP="00931FC3">
      <w:pPr>
        <w:adjustRightInd w:val="0"/>
        <w:snapToGrid w:val="0"/>
        <w:spacing w:line="360" w:lineRule="auto"/>
        <w:ind w:firstLineChars="200" w:firstLine="480"/>
        <w:rPr>
          <w:rFonts w:ascii="宋体" w:hAnsi="宋体" w:cs="Arial"/>
          <w:color w:val="000000" w:themeColor="text1"/>
          <w:sz w:val="24"/>
        </w:rPr>
      </w:pPr>
      <w:r w:rsidRPr="00931FC3">
        <w:rPr>
          <w:rFonts w:ascii="宋体" w:hAnsi="宋体" w:cs="Arial" w:hint="eastAsia"/>
          <w:color w:val="000000" w:themeColor="text1"/>
          <w:sz w:val="24"/>
        </w:rPr>
        <w:t>（</w:t>
      </w:r>
      <w:r w:rsidRPr="00931FC3">
        <w:rPr>
          <w:rFonts w:ascii="宋体" w:hAnsi="宋体" w:cs="Arial"/>
          <w:color w:val="000000" w:themeColor="text1"/>
          <w:sz w:val="24"/>
        </w:rPr>
        <w:t>2）差异化备付金比例计收方式下，</w:t>
      </w:r>
      <w:r w:rsidRPr="00931FC3">
        <w:rPr>
          <w:rFonts w:ascii="宋体" w:hAnsi="宋体" w:cs="Arial" w:hint="eastAsia"/>
          <w:color w:val="000000" w:themeColor="text1"/>
          <w:sz w:val="24"/>
        </w:rPr>
        <w:t>基金</w:t>
      </w:r>
      <w:r w:rsidRPr="00931FC3">
        <w:rPr>
          <w:rFonts w:ascii="宋体" w:hAnsi="宋体" w:cs="Arial"/>
          <w:color w:val="000000" w:themeColor="text1"/>
          <w:sz w:val="24"/>
        </w:rPr>
        <w:t>管理人应最晚于资金交收日</w:t>
      </w:r>
      <w:r w:rsidRPr="00931FC3">
        <w:rPr>
          <w:rFonts w:ascii="宋体" w:hAnsi="宋体" w:cs="Arial" w:hint="eastAsia"/>
          <w:color w:val="000000" w:themeColor="text1"/>
          <w:sz w:val="24"/>
        </w:rPr>
        <w:t>上午</w:t>
      </w:r>
      <w:r w:rsidRPr="00931FC3">
        <w:rPr>
          <w:rFonts w:ascii="宋体" w:hAnsi="宋体" w:cs="Arial"/>
          <w:color w:val="000000" w:themeColor="text1"/>
          <w:sz w:val="24"/>
        </w:rPr>
        <w:t>8：30前补足金额</w:t>
      </w:r>
      <w:r w:rsidRPr="00931FC3">
        <w:rPr>
          <w:rFonts w:ascii="宋体" w:hAnsi="宋体" w:cs="Arial" w:hint="eastAsia"/>
          <w:color w:val="000000" w:themeColor="text1"/>
          <w:sz w:val="24"/>
        </w:rPr>
        <w:t>。如果基金管理人未遵循上述规定备足资金头寸，影响基金资产的清算交收及基金托管人与中国证券登记结算有限责任公司之间的一级清算，由此给基金托管人、基金资产及基金托管人托管的其他资产造成的直接损失由基金管理人负责。</w:t>
      </w:r>
    </w:p>
    <w:p w14:paraId="46144D35" w14:textId="77777777" w:rsidR="000737B4" w:rsidRPr="00931FC3" w:rsidRDefault="000737B4" w:rsidP="00931FC3">
      <w:pPr>
        <w:adjustRightInd w:val="0"/>
        <w:snapToGrid w:val="0"/>
        <w:spacing w:line="360" w:lineRule="auto"/>
        <w:ind w:firstLineChars="200" w:firstLine="480"/>
        <w:rPr>
          <w:rFonts w:ascii="宋体" w:hAnsi="宋体" w:cs="Arial"/>
          <w:color w:val="000000" w:themeColor="text1"/>
          <w:sz w:val="24"/>
        </w:rPr>
      </w:pPr>
      <w:r w:rsidRPr="00931FC3">
        <w:rPr>
          <w:rFonts w:ascii="宋体" w:hAnsi="宋体" w:cs="Arial" w:hint="eastAsia"/>
          <w:color w:val="000000" w:themeColor="text1"/>
          <w:sz w:val="24"/>
        </w:rPr>
        <w:t>根据中国证券登记结算有限责任公司结算规定，基金管理人在进行融资回购</w:t>
      </w:r>
      <w:r w:rsidRPr="00931FC3">
        <w:rPr>
          <w:rFonts w:ascii="宋体" w:hAnsi="宋体" w:cs="Arial" w:hint="eastAsia"/>
          <w:color w:val="000000" w:themeColor="text1"/>
          <w:sz w:val="24"/>
        </w:rPr>
        <w:lastRenderedPageBreak/>
        <w:t>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承担。</w:t>
      </w:r>
    </w:p>
    <w:p w14:paraId="13E2BFE6" w14:textId="77777777" w:rsidR="000737B4" w:rsidRPr="00931FC3" w:rsidRDefault="000737B4" w:rsidP="00931FC3">
      <w:pPr>
        <w:adjustRightInd w:val="0"/>
        <w:snapToGrid w:val="0"/>
        <w:spacing w:line="360" w:lineRule="auto"/>
        <w:ind w:firstLineChars="200" w:firstLine="480"/>
        <w:rPr>
          <w:rFonts w:ascii="宋体" w:hAnsi="宋体" w:cs="Arial"/>
          <w:color w:val="000000" w:themeColor="text1"/>
          <w:sz w:val="24"/>
        </w:rPr>
      </w:pPr>
      <w:r w:rsidRPr="00931FC3">
        <w:rPr>
          <w:rFonts w:ascii="宋体" w:hAnsi="宋体" w:cs="Arial" w:hint="eastAsia"/>
          <w:color w:val="000000" w:themeColor="text1"/>
          <w:sz w:val="24"/>
        </w:rPr>
        <w:t>对于中国证券登记结算有限责任公司实行</w:t>
      </w:r>
      <w:r w:rsidRPr="00931FC3">
        <w:rPr>
          <w:rFonts w:ascii="宋体" w:hAnsi="宋体" w:cs="Arial"/>
          <w:color w:val="000000" w:themeColor="text1"/>
          <w:sz w:val="24"/>
        </w:rPr>
        <w:t>T+0</w:t>
      </w:r>
      <w:r w:rsidRPr="00931FC3">
        <w:rPr>
          <w:rFonts w:ascii="宋体" w:hAnsi="宋体" w:cs="Arial" w:hint="eastAsia"/>
          <w:color w:val="000000" w:themeColor="text1"/>
          <w:sz w:val="24"/>
        </w:rPr>
        <w:t>非担保交收的业务，基金管理人应在交易日</w:t>
      </w:r>
      <w:r w:rsidRPr="00931FC3">
        <w:rPr>
          <w:rFonts w:ascii="宋体" w:hAnsi="宋体" w:cs="Arial"/>
          <w:color w:val="000000" w:themeColor="text1"/>
          <w:sz w:val="24"/>
        </w:rPr>
        <w:t>14:00前将划款指令发送至</w:t>
      </w:r>
      <w:r w:rsidRPr="00931FC3">
        <w:rPr>
          <w:rFonts w:ascii="宋体" w:hAnsi="宋体" w:cs="Arial" w:hint="eastAsia"/>
          <w:color w:val="000000" w:themeColor="text1"/>
          <w:sz w:val="24"/>
        </w:rPr>
        <w:t>基金托管人</w:t>
      </w:r>
      <w:r w:rsidRPr="00931FC3">
        <w:rPr>
          <w:rFonts w:ascii="宋体" w:hAnsi="宋体" w:cs="Arial"/>
          <w:color w:val="000000" w:themeColor="text1"/>
          <w:sz w:val="24"/>
        </w:rPr>
        <w:t>。因</w:t>
      </w:r>
      <w:r w:rsidRPr="00931FC3">
        <w:rPr>
          <w:rFonts w:ascii="宋体" w:hAnsi="宋体" w:cs="Arial" w:hint="eastAsia"/>
          <w:color w:val="000000" w:themeColor="text1"/>
          <w:sz w:val="24"/>
        </w:rPr>
        <w:t>基金管理人指令传输不及时，致使资金未能及时划入中国结算指定交收账户所造成的损失由基金管理人承担。包括但不限于赔偿在该市场引起其他托管客户交易失败、赔偿因占用结算参与人最低备付金带来的利息损失。</w:t>
      </w:r>
    </w:p>
    <w:p w14:paraId="1DA82CA4"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3.交易记录、资金和证券/期货账目核对的时间和方式</w:t>
      </w:r>
    </w:p>
    <w:p w14:paraId="57C563DF"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1）交易记录的核对</w:t>
      </w:r>
    </w:p>
    <w:p w14:paraId="4A95491D"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基金管理人按日进行交易记录的核对。每</w:t>
      </w:r>
      <w:r>
        <w:rPr>
          <w:rFonts w:ascii="宋体" w:hAnsi="宋体" w:hint="eastAsia"/>
          <w:color w:val="000000" w:themeColor="text1"/>
          <w:kern w:val="0"/>
          <w:sz w:val="24"/>
        </w:rPr>
        <w:t>个估值</w:t>
      </w:r>
      <w:r>
        <w:rPr>
          <w:rFonts w:ascii="宋体" w:hAnsi="宋体" w:cs="Arial" w:hint="eastAsia"/>
          <w:color w:val="000000" w:themeColor="text1"/>
          <w:sz w:val="24"/>
        </w:rPr>
        <w:t>日对外披露</w:t>
      </w:r>
      <w:r>
        <w:rPr>
          <w:rFonts w:ascii="宋体" w:hAnsi="宋体" w:hint="eastAsia"/>
          <w:color w:val="000000" w:themeColor="text1"/>
          <w:kern w:val="0"/>
          <w:sz w:val="24"/>
        </w:rPr>
        <w:t>基金份额</w:t>
      </w:r>
      <w:r>
        <w:rPr>
          <w:rFonts w:ascii="宋体" w:hAnsi="宋体" w:cs="Arial" w:hint="eastAsia"/>
          <w:color w:val="000000" w:themeColor="text1"/>
          <w:sz w:val="24"/>
        </w:rPr>
        <w:t>净值之前，必须保证当天所有实际交易记录与基金会计账簿上的交易记录完全一致。如果实际交易记录与会计账簿记录不一致，造成基金会计核算不完整或不真实，由此导致的损失由基金管理人承担。</w:t>
      </w:r>
    </w:p>
    <w:p w14:paraId="5C22B4FA"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2）资金账目的核对</w:t>
      </w:r>
    </w:p>
    <w:p w14:paraId="3A85B3B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资金账目按日核实。</w:t>
      </w:r>
    </w:p>
    <w:p w14:paraId="364B2AC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3）证券/期货账目的核对</w:t>
      </w:r>
    </w:p>
    <w:p w14:paraId="7CB3C9FC"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基金管理人和基金托管人每个估值日结束后核对基金证券</w:t>
      </w:r>
      <w:r>
        <w:rPr>
          <w:rFonts w:ascii="宋体" w:hAnsi="宋体" w:cs="Arial"/>
          <w:color w:val="000000" w:themeColor="text1"/>
          <w:sz w:val="24"/>
        </w:rPr>
        <w:t>/期货账目，确保双方账目相符。</w:t>
      </w:r>
    </w:p>
    <w:p w14:paraId="1858B845"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（三）基金申购和赎回业务处理的基本规定</w:t>
      </w:r>
    </w:p>
    <w:p w14:paraId="1EA1DBF3"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1.基金份额申购、赎回的确认、清算由基金管理人或其委托的登记机构负责。</w:t>
      </w:r>
    </w:p>
    <w:p w14:paraId="427FCB8C"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3BB0A4A2"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3.基金管理人应保证本基金（或本基金管理人委托）的登记机构每个工作日15:00前向基金托管人发送前一开放日上述有关数据，并保证相关数据的准确、完整。</w:t>
      </w:r>
    </w:p>
    <w:p w14:paraId="02A8AE7A"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4.登记机构应通过与基金托管人建立的加密系统发送有关数据，如因各种原</w:t>
      </w:r>
      <w:r>
        <w:rPr>
          <w:rFonts w:ascii="宋体" w:hAnsi="宋体" w:cs="Arial"/>
          <w:color w:val="000000" w:themeColor="text1"/>
          <w:sz w:val="24"/>
        </w:rPr>
        <w:lastRenderedPageBreak/>
        <w:t>因，该系统无法正常发送，双方可协商解决处理方式。基金管理人向基金托管人发送的数据，双方各自按有关规定保存。</w:t>
      </w:r>
    </w:p>
    <w:p w14:paraId="1C3A26B6"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5.如基金管理人委托其他机构办理本基金的登记业务，应保证上述相关事宜按时进行。否则，由基金管理人承担相应的责任。</w:t>
      </w:r>
    </w:p>
    <w:p w14:paraId="7DEBC3EC"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6.关于清算专用账户的设立和管理</w:t>
      </w:r>
    </w:p>
    <w:p w14:paraId="58C8213B"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为满足申购、赎回及分红资金汇划的需要，由基金管理人开立资金清算的专用账户，该账户由登记机构管理。</w:t>
      </w:r>
    </w:p>
    <w:p w14:paraId="10AFAEE0"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7.对于基金申购过程中产生的应收款，应由基金管理人负责与有关当事人确定到账日期并通知基金托管人，到账日应收款没有到达基金托管资金账户的，基金托管人应及时通知基金管理人采取措施进行催收，由此造成基金损失的，基金管理人应负责向有关当事人追偿基金的损失</w:t>
      </w:r>
      <w:r>
        <w:rPr>
          <w:rFonts w:ascii="宋体" w:hAnsi="宋体" w:cs="Arial" w:hint="eastAsia"/>
          <w:color w:val="000000" w:themeColor="text1"/>
          <w:sz w:val="24"/>
        </w:rPr>
        <w:t>，基金托管人应给予必要的协助与配合</w:t>
      </w:r>
      <w:r>
        <w:rPr>
          <w:rFonts w:ascii="宋体" w:hAnsi="宋体" w:cs="Arial"/>
          <w:color w:val="000000" w:themeColor="text1"/>
          <w:sz w:val="24"/>
        </w:rPr>
        <w:t>。</w:t>
      </w:r>
    </w:p>
    <w:p w14:paraId="3ED48411"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8.赎回和分红资金划拨规定</w:t>
      </w:r>
    </w:p>
    <w:p w14:paraId="79DB5EF5"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拨付赎回款或进行基金分红时，如基金托管资金账户有足够的资金，基金托管人应按时拨付；因基金托管资金账户没有足够的资金，导致基金托管人不能按时拨付，基金托管人应及时通知基金管理人，如系基金管理人的原因造成，责任由基金管理人承担，基金托管人不承担垫款义务。</w:t>
      </w:r>
    </w:p>
    <w:p w14:paraId="6FD6D496"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9.资金指令</w:t>
      </w:r>
    </w:p>
    <w:p w14:paraId="1FA67ACD"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除申购款项到达基金托管资金账户需双方按约定方式对账外，回购到期付款和与投资有关的付款、赎回和分红资金划拨时，基金管理人需向基金托管人下达指令。</w:t>
      </w:r>
    </w:p>
    <w:p w14:paraId="50C1CB23"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资金指令的格式、内容、发送、接收和确认方式等与投资指令相同。</w:t>
      </w:r>
    </w:p>
    <w:p w14:paraId="359ACE30"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（四）申赎净额结算</w:t>
      </w:r>
    </w:p>
    <w:p w14:paraId="0EE4E46D"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托管资金账户与“基金清算账户”间的资金清算遵循“全额清算、净额交收”的原则，即按照托管资金账户当日应收资金与托管资金账户应付资金的差额来确定托管资金账户净应收额或净应付额，以此确定资金交收额。当存在托管资金账户净应收额时，基金管理人应在交收日</w:t>
      </w:r>
      <w:r>
        <w:rPr>
          <w:rFonts w:ascii="宋体" w:hAnsi="宋体" w:cs="Arial"/>
          <w:color w:val="000000" w:themeColor="text1"/>
          <w:sz w:val="24"/>
        </w:rPr>
        <w:t>15:00之前</w:t>
      </w:r>
      <w:r>
        <w:rPr>
          <w:rFonts w:ascii="宋体" w:hAnsi="宋体" w:cs="Arial" w:hint="eastAsia"/>
          <w:color w:val="000000" w:themeColor="text1"/>
          <w:sz w:val="24"/>
        </w:rPr>
        <w:t>将托管资金账户净应收额从“基金清算账户”划到基金托管资金账户；当存在托管资金账户净应付额时，</w:t>
      </w:r>
      <w:r>
        <w:rPr>
          <w:rFonts w:ascii="宋体" w:hAnsi="宋体" w:cs="Arial"/>
          <w:color w:val="000000" w:themeColor="text1"/>
          <w:sz w:val="24"/>
        </w:rPr>
        <w:t>基金管理人应在</w:t>
      </w:r>
      <w:r>
        <w:rPr>
          <w:rFonts w:ascii="宋体" w:hAnsi="宋体" w:cs="Arial" w:hint="eastAsia"/>
          <w:color w:val="000000" w:themeColor="text1"/>
          <w:sz w:val="24"/>
        </w:rPr>
        <w:t>交收</w:t>
      </w:r>
      <w:r>
        <w:rPr>
          <w:rFonts w:ascii="宋体" w:hAnsi="宋体" w:cs="Arial"/>
          <w:color w:val="000000" w:themeColor="text1"/>
          <w:sz w:val="24"/>
        </w:rPr>
        <w:t>日10：00前将划款指令发送给基金托管人，基金托管人按基金管理人的划款指令将托管</w:t>
      </w:r>
      <w:r>
        <w:rPr>
          <w:rFonts w:ascii="宋体" w:hAnsi="宋体" w:cs="Arial" w:hint="eastAsia"/>
          <w:color w:val="000000" w:themeColor="text1"/>
          <w:sz w:val="24"/>
        </w:rPr>
        <w:t>资金</w:t>
      </w:r>
      <w:r>
        <w:rPr>
          <w:rFonts w:ascii="宋体" w:hAnsi="宋体" w:cs="Arial"/>
          <w:color w:val="000000" w:themeColor="text1"/>
          <w:sz w:val="24"/>
        </w:rPr>
        <w:t>账户净应付额在</w:t>
      </w:r>
      <w:r>
        <w:rPr>
          <w:rFonts w:ascii="宋体" w:hAnsi="宋体" w:cs="Arial" w:hint="eastAsia"/>
          <w:color w:val="000000" w:themeColor="text1"/>
          <w:sz w:val="24"/>
        </w:rPr>
        <w:t>交收</w:t>
      </w:r>
      <w:r>
        <w:rPr>
          <w:rFonts w:ascii="宋体" w:hAnsi="宋体" w:cs="Arial"/>
          <w:color w:val="000000" w:themeColor="text1"/>
          <w:sz w:val="24"/>
        </w:rPr>
        <w:t>日15:00之前</w:t>
      </w:r>
      <w:r>
        <w:rPr>
          <w:rFonts w:ascii="宋体" w:hAnsi="宋体" w:cs="Arial" w:hint="eastAsia"/>
          <w:color w:val="000000" w:themeColor="text1"/>
          <w:sz w:val="24"/>
        </w:rPr>
        <w:t>将托管资金账</w:t>
      </w:r>
      <w:r>
        <w:rPr>
          <w:rFonts w:ascii="宋体" w:hAnsi="宋体" w:cs="Arial" w:hint="eastAsia"/>
          <w:color w:val="000000" w:themeColor="text1"/>
          <w:sz w:val="24"/>
        </w:rPr>
        <w:lastRenderedPageBreak/>
        <w:t>户净应付额划往“基金清算账户”。</w:t>
      </w:r>
    </w:p>
    <w:p w14:paraId="10613808" w14:textId="77777777" w:rsidR="00DF5F45" w:rsidRDefault="00153BE1">
      <w:pPr>
        <w:widowControl/>
        <w:spacing w:line="360" w:lineRule="auto"/>
        <w:ind w:right="28" w:firstLine="480"/>
        <w:rPr>
          <w:rFonts w:ascii="宋体" w:hAnsi="宋体" w:cs="Arial"/>
          <w:color w:val="000000" w:themeColor="text1"/>
          <w:sz w:val="24"/>
        </w:rPr>
      </w:pPr>
      <w:r>
        <w:rPr>
          <w:rFonts w:ascii="宋体" w:hAnsi="宋体" w:cs="Arial" w:hint="eastAsia"/>
          <w:color w:val="000000" w:themeColor="text1"/>
          <w:sz w:val="24"/>
        </w:rPr>
        <w:t>（五）基金转换</w:t>
      </w:r>
    </w:p>
    <w:p w14:paraId="7CAF4293"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1.基金托管人将根据基金管理人传送的基金转换数据进行账务处理，</w:t>
      </w:r>
      <w:r>
        <w:rPr>
          <w:rFonts w:ascii="宋体" w:hAnsi="宋体" w:cs="Arial" w:hint="eastAsia"/>
          <w:color w:val="000000" w:themeColor="text1"/>
          <w:sz w:val="24"/>
        </w:rPr>
        <w:t>具体资金清算和数据传递的时间、程序及托管协议当事人承担的权责按基金管理人届时的公告执行。</w:t>
      </w:r>
    </w:p>
    <w:p w14:paraId="6A9A0007"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2.本基金开展基金转换业务应按相关法律法规规定及《基金合同》的约定进行公告。</w:t>
      </w:r>
    </w:p>
    <w:p w14:paraId="31000BD9"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（六）基金现金分红</w:t>
      </w:r>
    </w:p>
    <w:p w14:paraId="69D34E9C" w14:textId="77777777" w:rsidR="00DF5F45" w:rsidRDefault="00153BE1">
      <w:pPr>
        <w:adjustRightInd w:val="0"/>
        <w:snapToGrid w:val="0"/>
        <w:spacing w:line="360" w:lineRule="auto"/>
        <w:ind w:firstLineChars="200" w:firstLine="480"/>
        <w:rPr>
          <w:rFonts w:ascii="宋体" w:hAnsi="宋体"/>
          <w:color w:val="000000" w:themeColor="text1"/>
          <w:sz w:val="24"/>
          <w:szCs w:val="18"/>
        </w:rPr>
      </w:pPr>
      <w:r>
        <w:rPr>
          <w:rFonts w:ascii="宋体" w:hAnsi="宋体" w:cs="Arial"/>
          <w:color w:val="000000" w:themeColor="text1"/>
          <w:sz w:val="24"/>
        </w:rPr>
        <w:t>1.基金管理人确定分红方案通知基金托管人，双方核定后</w:t>
      </w:r>
      <w:r>
        <w:rPr>
          <w:rFonts w:ascii="宋体" w:hAnsi="宋体" w:cs="Arial" w:hint="eastAsia"/>
          <w:color w:val="000000" w:themeColor="text1"/>
          <w:sz w:val="24"/>
        </w:rPr>
        <w:t>，基金管理人</w:t>
      </w:r>
      <w:r>
        <w:rPr>
          <w:rFonts w:ascii="宋体" w:hAnsi="宋体" w:hint="eastAsia"/>
          <w:color w:val="000000" w:themeColor="text1"/>
          <w:sz w:val="24"/>
          <w:szCs w:val="18"/>
        </w:rPr>
        <w:t>依照《信息披露办法》的有关规定在中国证监会规定媒介上公告</w:t>
      </w:r>
      <w:r>
        <w:rPr>
          <w:rFonts w:ascii="宋体" w:hAnsi="宋体" w:cs="Arial" w:hint="eastAsia"/>
          <w:color w:val="000000" w:themeColor="text1"/>
          <w:sz w:val="24"/>
        </w:rPr>
        <w:t>。</w:t>
      </w:r>
    </w:p>
    <w:p w14:paraId="6A7B9B26"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2.基金托管人和基金管理人对基金分红进行账务处理并核对后，基金管理人向基金托管人发送现金红利的划款指令，基金托管人应及时将资金划入专用账户。</w:t>
      </w:r>
    </w:p>
    <w:p w14:paraId="22FBF0E6"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3.基金管理人在下达指令时，应给基金托管人留出必需的划款时间。</w:t>
      </w:r>
    </w:p>
    <w:p w14:paraId="36557734"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（七）投资银行存款的特别约定</w:t>
      </w:r>
    </w:p>
    <w:p w14:paraId="07CAE2F5"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1.本基金投资银行存款前，基金管理人应与存款银行签订具体存款协议，包括但不限于以下内容：</w:t>
      </w:r>
    </w:p>
    <w:p w14:paraId="0D71750C"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1）存款账户必须以本基金名义开立,并将基金托管人为本基金开立的基金托管资金账户指定为唯一回款账户，任何情况下，存款银行都不得将存款投资本息划往任何其他账户。</w:t>
      </w:r>
    </w:p>
    <w:p w14:paraId="54A40EFF"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2）存款银行不得接受基金管理人或基金托管人任何一方单方面提出的对存款进行更名、转让、挂失、质押、担保、撤销、变更印鉴及回款账户信息等可能导致财产转移的操作申请。</w:t>
      </w:r>
    </w:p>
    <w:p w14:paraId="34E02AF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3）约定存款证实书的具体传递交接方式及交接期限。</w:t>
      </w:r>
    </w:p>
    <w:p w14:paraId="16DD603C"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4）资金划转过程中需要使用存款银行过渡账户的，存款银行须保证资金在过渡账户中不出现滞留，不被挪用。</w:t>
      </w:r>
    </w:p>
    <w:p w14:paraId="45C1A61A"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本基金投资银行存款，必须采用双方认可的方式办理。基金托管人负责依据基金管理人提供的银行存款投资合同/协议、投资指令、支取通知等有关文件办理资金的支付以及存款证实书的接收、保管与交付，切实履行托管职责。基金托管人负责对存款开户证实书进行保管，不负责对存款开户证实书真伪的辨别，不承担存款开户证实书对应存款的本金及收益的安全。</w:t>
      </w:r>
    </w:p>
    <w:p w14:paraId="310E1826"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lastRenderedPageBreak/>
        <w:t>3.基金管理人投资银行存款或办理存款支取时，应提前书面通知基金托管人，以便基金托管人有足够的时间履行相应的业务操作程序。因发生逾期支取、提前支取或部分提前支取，基金托管人不承担相应利息损失及逾期支取手续费。</w:t>
      </w:r>
    </w:p>
    <w:p w14:paraId="04C14871" w14:textId="77777777" w:rsidR="00DF5F45" w:rsidRDefault="00153BE1">
      <w:pPr>
        <w:spacing w:line="360" w:lineRule="auto"/>
        <w:ind w:firstLineChars="200" w:firstLine="480"/>
        <w:rPr>
          <w:rFonts w:ascii="宋体" w:hAnsi="宋体" w:cs="Arial"/>
          <w:color w:val="000000" w:themeColor="text1"/>
          <w:sz w:val="24"/>
        </w:rPr>
      </w:pPr>
      <w:r>
        <w:rPr>
          <w:rFonts w:ascii="宋体" w:hAnsi="宋体" w:cs="Arial"/>
          <w:color w:val="000000" w:themeColor="text1"/>
          <w:sz w:val="24"/>
        </w:rPr>
        <w:t>4.对于已移交基金托管人保管的存款开户证实书等实物凭证，基金托管人应</w:t>
      </w:r>
      <w:r>
        <w:rPr>
          <w:rFonts w:ascii="宋体" w:hAnsi="宋体" w:cs="Arial" w:hint="eastAsia"/>
          <w:color w:val="000000" w:themeColor="text1"/>
          <w:sz w:val="24"/>
        </w:rPr>
        <w:t>确保</w:t>
      </w:r>
      <w:r>
        <w:rPr>
          <w:rFonts w:ascii="宋体" w:hAnsi="宋体" w:cs="Arial"/>
          <w:color w:val="000000" w:themeColor="text1"/>
          <w:sz w:val="24"/>
        </w:rPr>
        <w:t>安全保管；对未按约定将存款开户证实书等实物凭证移交基金托管人保管的，基金托管人应向基金管理人进行必要的催缴和风险提示；提示后仍不将相关实物凭证送达基金托管人保管的，出于托管履职和尽责，基金托管人可视情况采取必要的风险控制措施：（1</w:t>
      </w:r>
      <w:r>
        <w:rPr>
          <w:rFonts w:ascii="宋体" w:hAnsi="宋体" w:cs="Arial" w:hint="eastAsia"/>
          <w:color w:val="000000" w:themeColor="text1"/>
          <w:sz w:val="24"/>
        </w:rPr>
        <w:t>）建立风险预警机制，对于实物凭证未送达集中度较高的存款银行，主动发函提示基金管理人尽量避免在此类银行进行存款投资；（</w:t>
      </w:r>
      <w:r>
        <w:rPr>
          <w:rFonts w:ascii="宋体" w:hAnsi="宋体" w:cs="Arial"/>
          <w:color w:val="000000" w:themeColor="text1"/>
          <w:sz w:val="24"/>
        </w:rPr>
        <w:t>2</w:t>
      </w:r>
      <w:r>
        <w:rPr>
          <w:rFonts w:ascii="宋体" w:hAnsi="宋体" w:cs="Arial" w:hint="eastAsia"/>
          <w:color w:val="000000" w:themeColor="text1"/>
          <w:sz w:val="24"/>
        </w:rPr>
        <w:t>）在定期报告中，对未按约定送达基金托管人保管的实物凭证信息进行规定范围信息披露；（</w:t>
      </w:r>
      <w:r>
        <w:rPr>
          <w:rFonts w:ascii="宋体" w:hAnsi="宋体" w:cs="Arial"/>
          <w:color w:val="000000" w:themeColor="text1"/>
          <w:sz w:val="24"/>
        </w:rPr>
        <w:t>3</w:t>
      </w:r>
      <w:r>
        <w:rPr>
          <w:rFonts w:ascii="宋体" w:hAnsi="宋体" w:cs="Arial" w:hint="eastAsia"/>
          <w:color w:val="000000" w:themeColor="text1"/>
          <w:sz w:val="24"/>
        </w:rPr>
        <w:t>）未送达实物凭证超过送单截止日后</w:t>
      </w:r>
      <w:r>
        <w:rPr>
          <w:rFonts w:ascii="宋体" w:hAnsi="宋体" w:cs="Arial"/>
          <w:color w:val="000000" w:themeColor="text1"/>
          <w:sz w:val="24"/>
        </w:rPr>
        <w:t>30</w:t>
      </w:r>
      <w:r>
        <w:rPr>
          <w:rFonts w:ascii="宋体" w:hAnsi="宋体" w:cs="Arial" w:hint="eastAsia"/>
          <w:color w:val="000000" w:themeColor="text1"/>
          <w:sz w:val="24"/>
        </w:rPr>
        <w:t>个工作日，且累计超过</w:t>
      </w:r>
      <w:r>
        <w:rPr>
          <w:rFonts w:ascii="宋体" w:hAnsi="宋体" w:cs="Arial"/>
          <w:color w:val="000000" w:themeColor="text1"/>
          <w:sz w:val="24"/>
        </w:rPr>
        <w:t>3</w:t>
      </w:r>
      <w:r>
        <w:rPr>
          <w:rFonts w:ascii="宋体" w:hAnsi="宋体" w:cs="Arial" w:hint="eastAsia"/>
          <w:color w:val="000000" w:themeColor="text1"/>
          <w:sz w:val="24"/>
        </w:rPr>
        <w:t>笔（含）以上的，部分或全部暂停配合基金管理人办理后续新增存款投资业务，直至实物凭证送达基金托管人保管后解除。实物凭证未送达但存款本息已安全划回托管资金账户的，以及因发生特殊情况由基金管理人提供相关书面说明并重新承诺送单截止时间的，可剔除不计。</w:t>
      </w:r>
    </w:p>
    <w:p w14:paraId="0604DA57" w14:textId="77777777" w:rsidR="00DF5F45" w:rsidRDefault="00DF5F45">
      <w:pPr>
        <w:adjustRightInd w:val="0"/>
        <w:snapToGrid w:val="0"/>
        <w:spacing w:line="360" w:lineRule="auto"/>
        <w:ind w:firstLineChars="200" w:firstLine="480"/>
        <w:rPr>
          <w:rFonts w:ascii="宋体" w:hAnsi="宋体" w:cs="Arial"/>
          <w:color w:val="000000" w:themeColor="text1"/>
          <w:sz w:val="24"/>
        </w:rPr>
      </w:pPr>
    </w:p>
    <w:p w14:paraId="0338F36E" w14:textId="77777777" w:rsidR="00DF5F45" w:rsidRDefault="00153BE1">
      <w:pPr>
        <w:pStyle w:val="2"/>
        <w:spacing w:line="360" w:lineRule="auto"/>
        <w:jc w:val="center"/>
        <w:rPr>
          <w:rFonts w:ascii="宋体" w:eastAsia="宋体" w:hAnsi="宋体"/>
          <w:color w:val="000000" w:themeColor="text1"/>
          <w:sz w:val="30"/>
        </w:rPr>
      </w:pPr>
      <w:bookmarkStart w:id="86" w:name="_Toc124325892"/>
      <w:r>
        <w:rPr>
          <w:rFonts w:ascii="宋体" w:eastAsia="宋体" w:hAnsi="宋体" w:hint="eastAsia"/>
          <w:color w:val="000000" w:themeColor="text1"/>
          <w:sz w:val="30"/>
        </w:rPr>
        <w:t>八、基金资产净值计算和会计核算</w:t>
      </w:r>
      <w:bookmarkEnd w:id="86"/>
    </w:p>
    <w:p w14:paraId="3ADF82CD"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（一）基金资产净值的计算、复核与完成的时间及程序</w:t>
      </w:r>
    </w:p>
    <w:p w14:paraId="2BA9C306"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基金资产净值是指基金资产总值减去基金负债后的价值。各类别基金份额净值是按照每个工作日闭市后，该类别基金份额的基金资产净值除以当日该类别基金份额的余额数量计算，均精确到0.0001元，小数点后第5位（如有）四舍五入，由此产生的误差计入基金财产。基金管理人可以设立大额赎回情</w:t>
      </w:r>
      <w:r>
        <w:rPr>
          <w:rFonts w:hint="eastAsia"/>
          <w:bCs/>
          <w:color w:val="000000" w:themeColor="text1"/>
          <w:sz w:val="24"/>
        </w:rPr>
        <w:t>形下的净值精度应急调整机制。国家法律法规另有规定的，从其规定。</w:t>
      </w:r>
    </w:p>
    <w:p w14:paraId="1304358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基金管理人应于每个估值日计算基金资产净值及各类别基金份额净值，经基金托管人复核，并按规定公告基金净值信息。</w:t>
      </w:r>
    </w:p>
    <w:p w14:paraId="2386DC7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基金管理人应在每个估值日对基金资产估值。但基金管理人根据法律法规或《基金合同》的规定暂停估值时除外。基金管理人每个估值日对基金资产估值后，将基金资产净值、各类别基金份额净值结果发送基金托管人，经基金托管人</w:t>
      </w:r>
      <w:r>
        <w:rPr>
          <w:rFonts w:ascii="宋体" w:hAnsi="宋体" w:cs="Arial"/>
          <w:color w:val="000000" w:themeColor="text1"/>
          <w:sz w:val="24"/>
        </w:rPr>
        <w:lastRenderedPageBreak/>
        <w:t>复核无误后，由基金管理人</w:t>
      </w:r>
      <w:r>
        <w:rPr>
          <w:rFonts w:hint="eastAsia"/>
          <w:bCs/>
          <w:color w:val="000000" w:themeColor="text1"/>
          <w:sz w:val="24"/>
        </w:rPr>
        <w:t>按规定</w:t>
      </w:r>
      <w:r>
        <w:rPr>
          <w:rFonts w:ascii="宋体" w:hAnsi="宋体" w:cs="Arial" w:hint="eastAsia"/>
          <w:color w:val="000000" w:themeColor="text1"/>
          <w:sz w:val="24"/>
        </w:rPr>
        <w:t>对外公布。</w:t>
      </w:r>
    </w:p>
    <w:p w14:paraId="07C42882" w14:textId="77777777" w:rsidR="00DF5F45" w:rsidRDefault="00153BE1">
      <w:pPr>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（二）基金资产估值方法和特殊情形的处理</w:t>
      </w:r>
    </w:p>
    <w:p w14:paraId="0B52B8F4"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1.估值对象</w:t>
      </w:r>
    </w:p>
    <w:p w14:paraId="7F8E252E"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hint="eastAsia"/>
          <w:bCs/>
          <w:color w:val="000000" w:themeColor="text1"/>
          <w:sz w:val="24"/>
        </w:rPr>
        <w:t>基金所拥有的股票、存托凭证、衍生工具、债券和银行存款本息、应收款项、资产支持证券、其它投资等资产及负债。</w:t>
      </w:r>
    </w:p>
    <w:p w14:paraId="0B354CED"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2.估值方法</w:t>
      </w:r>
    </w:p>
    <w:p w14:paraId="16D4D347"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本基金所持有的投资品种，按如下原则进行估值：</w:t>
      </w:r>
    </w:p>
    <w:p w14:paraId="7DBA0097"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1）证券交易所上市的有价证券的估值</w:t>
      </w:r>
    </w:p>
    <w:p w14:paraId="1592092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交易所上市的有价证券（包括股票等），以其估值日在证券交易所挂牌的市价（收盘价）估值；估值日无交易的，且最近交易日后经济环境未发生重大变化，且证券发行机构未发生影响证券价格的重大事件的，以最近交易日的市价（收盘价）估值；如最近交易日后经济环境发生了重大变化或证券发行机构发生影响证券价格的重大事件的，参考类似投资品种的现行价格及重大变化因素，调整最近交易日的收盘价确定公允价值。</w:t>
      </w:r>
    </w:p>
    <w:p w14:paraId="1E7587AA"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2）固定收益品种的估值</w:t>
      </w:r>
    </w:p>
    <w:p w14:paraId="1DE25994"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1）对于已上市或已挂牌转让的不含权固定收益品种，选取第三方估值基准服务机构提供的相应品种当日的估值全价；</w:t>
      </w:r>
    </w:p>
    <w:p w14:paraId="0F934DEC"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对于已上市或已挂牌转让的含权固定收益品种，选取第三方估值基准服务机构提供的相应品种当日的唯一估值全价或推荐估值全价。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2121115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3）对于在交易所市场上市交易的公开发行的可转换债券等有活跃市场的含转股权的债券，实行全价交易的债券按照估值日收盘价作为估值全价；实行净价交易的债券按照估值日收盘价并加计每百元税前应计利息作为估值全价；</w:t>
      </w:r>
    </w:p>
    <w:p w14:paraId="5ED94AD6"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4</w:t>
      </w:r>
      <w:r>
        <w:rPr>
          <w:rFonts w:ascii="宋体" w:hAnsi="宋体" w:cs="Arial" w:hint="eastAsia"/>
          <w:color w:val="000000" w:themeColor="text1"/>
          <w:sz w:val="24"/>
        </w:rPr>
        <w:t>）对于未上市或未挂牌转让且不存在活跃市场的固定收益品种，如无第三方估值基准服务机构提供的估值价格，则在当前情况下适用并且有足够可利用数据和其他信息支持的估值技术确定其公允价值。</w:t>
      </w:r>
    </w:p>
    <w:p w14:paraId="5118E542"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3）处于未上市期间的有价证券应区分如下情况处理：</w:t>
      </w:r>
    </w:p>
    <w:p w14:paraId="431FF5EF"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1）送股、转增股、配股和公开增发的新股，按估值日在证券交易所挂牌的同</w:t>
      </w:r>
      <w:r>
        <w:rPr>
          <w:rFonts w:ascii="宋体" w:hAnsi="宋体" w:cs="Arial"/>
          <w:color w:val="000000" w:themeColor="text1"/>
          <w:sz w:val="24"/>
        </w:rPr>
        <w:lastRenderedPageBreak/>
        <w:t>一股票的估值方法估值；该日无交易的，以最近交易日的市价（收盘价）估值；</w:t>
      </w:r>
    </w:p>
    <w:p w14:paraId="3C2AAD5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2）首次公开发行未上市的股票，采用估值技术确定公允价值。</w:t>
      </w:r>
    </w:p>
    <w:p w14:paraId="4C47A796"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4）流通受限股票的估值方法</w:t>
      </w:r>
    </w:p>
    <w:p w14:paraId="73F4F0F1"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hint="eastAsia"/>
          <w:bCs/>
          <w:color w:val="000000" w:themeColor="text1"/>
          <w:sz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16CC4A62"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5）存款的估值方法</w:t>
      </w:r>
    </w:p>
    <w:p w14:paraId="364E5CC1" w14:textId="77777777" w:rsidR="00DF5F45" w:rsidRDefault="00153BE1">
      <w:pPr>
        <w:adjustRightInd w:val="0"/>
        <w:snapToGrid w:val="0"/>
        <w:spacing w:line="360" w:lineRule="auto"/>
        <w:ind w:firstLineChars="200" w:firstLine="480"/>
        <w:rPr>
          <w:bCs/>
          <w:color w:val="000000" w:themeColor="text1"/>
          <w:sz w:val="24"/>
        </w:rPr>
      </w:pPr>
      <w:r>
        <w:rPr>
          <w:rFonts w:hint="eastAsia"/>
          <w:bCs/>
          <w:color w:val="000000" w:themeColor="text1"/>
          <w:sz w:val="24"/>
        </w:rPr>
        <w:t>持有的银行定期存款或通知存款以本金列示，按协议或合同利率逐日确认利息收入。</w:t>
      </w:r>
    </w:p>
    <w:p w14:paraId="77493911"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6）本基金投资股指期货合约、国债期货合约，以估值当日结算价进行估值，估值当日无结算价的，且最近交易日后经济环境未发生重大变化的，采用最近交易日结算价估值。</w:t>
      </w:r>
    </w:p>
    <w:p w14:paraId="4F1F4307"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本基金投资股票期权，根据相关法律法规以及监管部门的规定估值。</w:t>
      </w:r>
    </w:p>
    <w:p w14:paraId="7D5B3523"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7）本基金投资存托凭证的估值核算，依照境内上市交易的股票执行。</w:t>
      </w:r>
    </w:p>
    <w:p w14:paraId="2F12788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8）本基金参与融资业务的，按照相关法律法规、监管部门和行业协会的相关规定进行估值。</w:t>
      </w:r>
    </w:p>
    <w:p w14:paraId="72A598D8" w14:textId="77777777" w:rsidR="00DF5F45" w:rsidRDefault="00153BE1">
      <w:pPr>
        <w:adjustRightInd w:val="0"/>
        <w:snapToGrid w:val="0"/>
        <w:spacing w:line="360" w:lineRule="auto"/>
        <w:ind w:firstLineChars="200" w:firstLine="480"/>
        <w:rPr>
          <w:bCs/>
          <w:color w:val="000000" w:themeColor="text1"/>
          <w:sz w:val="24"/>
        </w:rPr>
      </w:pPr>
      <w:r>
        <w:rPr>
          <w:rFonts w:hint="eastAsia"/>
          <w:bCs/>
          <w:color w:val="000000" w:themeColor="text1"/>
          <w:sz w:val="24"/>
        </w:rPr>
        <w:t>（</w:t>
      </w:r>
      <w:r>
        <w:rPr>
          <w:bCs/>
          <w:color w:val="000000" w:themeColor="text1"/>
          <w:sz w:val="24"/>
        </w:rPr>
        <w:t>9</w:t>
      </w:r>
      <w:r>
        <w:rPr>
          <w:rFonts w:hint="eastAsia"/>
          <w:bCs/>
          <w:color w:val="000000" w:themeColor="text1"/>
          <w:sz w:val="24"/>
        </w:rPr>
        <w:t>）估值计算中涉及港币对人民币汇率的，将依据下列信息提供机构所提供的汇率为基准：基金估值日中国人民银行或其授权机构公布的人民币与港币的中间价。若本基金现行估值汇率不再发布或发生重大变更，或市场上出现更为公允、更适合本基金的估值汇率时，基金管理人与基金托管人协商一致后可根据实际情况调整本基金的估值汇率，并及时报中国证监会备案，无需召开基金份额持有人大会。</w:t>
      </w:r>
    </w:p>
    <w:p w14:paraId="55E5883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7314243A" w14:textId="77777777" w:rsidR="002B0EF8"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10）</w:t>
      </w:r>
      <w:r w:rsidR="002B0EF8" w:rsidRPr="002B0EF8">
        <w:rPr>
          <w:rFonts w:ascii="宋体" w:hAnsi="宋体" w:cs="Arial" w:hint="eastAsia"/>
          <w:color w:val="000000" w:themeColor="text1"/>
          <w:sz w:val="24"/>
        </w:rPr>
        <w:t>本基金可以采用第三方估值机构按照上述公允价值确定原则提供的估值价格数据。</w:t>
      </w:r>
    </w:p>
    <w:p w14:paraId="6082A85C" w14:textId="7DA0427D" w:rsidR="00DF5F45" w:rsidRDefault="002B0EF8">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lastRenderedPageBreak/>
        <w:t>（11）</w:t>
      </w:r>
      <w:r w:rsidR="00153BE1">
        <w:rPr>
          <w:rFonts w:ascii="宋体" w:hAnsi="宋体" w:cs="Arial" w:hint="eastAsia"/>
          <w:color w:val="000000" w:themeColor="text1"/>
          <w:sz w:val="24"/>
        </w:rPr>
        <w:t>如有确凿证据表明按上述方法进行估值不能客观反映其公允价值的，基金管理人可根据具体情况与基金托管人商定后，按最能反映公允价值的价格估值。</w:t>
      </w:r>
    </w:p>
    <w:p w14:paraId="60BD734E" w14:textId="4B02ABD2" w:rsidR="002B0EF8" w:rsidRPr="002B0EF8" w:rsidRDefault="0006019E" w:rsidP="002B0EF8">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（12）</w:t>
      </w:r>
      <w:r w:rsidR="002B0EF8" w:rsidRPr="002B0EF8">
        <w:rPr>
          <w:rFonts w:ascii="宋体" w:hAnsi="宋体" w:cs="Arial" w:hint="eastAsia"/>
          <w:color w:val="000000" w:themeColor="text1"/>
          <w:sz w:val="24"/>
        </w:rPr>
        <w:t>使用模型估值的，应当审慎确定模型参数，不得随意调整。</w:t>
      </w:r>
    </w:p>
    <w:p w14:paraId="0823A9ED" w14:textId="026144EB" w:rsidR="002B0EF8" w:rsidRDefault="0006019E" w:rsidP="002B0EF8">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（13）</w:t>
      </w:r>
      <w:r w:rsidR="002B0EF8" w:rsidRPr="002B0EF8">
        <w:rPr>
          <w:rFonts w:ascii="宋体" w:hAnsi="宋体" w:cs="Arial" w:hint="eastAsia"/>
          <w:color w:val="000000" w:themeColor="text1"/>
          <w:sz w:val="24"/>
        </w:rPr>
        <w:t>对于仅依赖</w:t>
      </w:r>
      <w:r w:rsidR="00E10F61">
        <w:rPr>
          <w:rFonts w:ascii="宋体" w:hAnsi="宋体" w:cs="Arial" w:hint="eastAsia"/>
          <w:color w:val="000000" w:themeColor="text1"/>
          <w:sz w:val="24"/>
        </w:rPr>
        <w:t>基金</w:t>
      </w:r>
      <w:r w:rsidR="002B0EF8" w:rsidRPr="002B0EF8">
        <w:rPr>
          <w:rFonts w:ascii="宋体" w:hAnsi="宋体" w:cs="Arial" w:hint="eastAsia"/>
          <w:color w:val="000000" w:themeColor="text1"/>
          <w:sz w:val="24"/>
        </w:rPr>
        <w:t>管理人所提供数据（包括不限于</w:t>
      </w:r>
      <w:r w:rsidR="00E10F61">
        <w:rPr>
          <w:rFonts w:ascii="宋体" w:hAnsi="宋体" w:cs="Arial" w:hint="eastAsia"/>
          <w:color w:val="000000" w:themeColor="text1"/>
          <w:sz w:val="24"/>
        </w:rPr>
        <w:t>基金</w:t>
      </w:r>
      <w:r w:rsidR="002B0EF8" w:rsidRPr="002B0EF8">
        <w:rPr>
          <w:rFonts w:ascii="宋体" w:hAnsi="宋体" w:cs="Arial" w:hint="eastAsia"/>
          <w:color w:val="000000" w:themeColor="text1"/>
          <w:sz w:val="24"/>
        </w:rPr>
        <w:t>管理人自建模型定价）且无法从其他渠道获取可靠数据进行会计核算的投资品种，</w:t>
      </w:r>
      <w:r w:rsidR="00E10F61">
        <w:rPr>
          <w:rFonts w:ascii="宋体" w:hAnsi="宋体" w:cs="Arial" w:hint="eastAsia"/>
          <w:color w:val="000000" w:themeColor="text1"/>
          <w:sz w:val="24"/>
        </w:rPr>
        <w:t>基金</w:t>
      </w:r>
      <w:r w:rsidR="002B0EF8" w:rsidRPr="002B0EF8">
        <w:rPr>
          <w:rFonts w:ascii="宋体" w:hAnsi="宋体" w:cs="Arial" w:hint="eastAsia"/>
          <w:color w:val="000000" w:themeColor="text1"/>
          <w:sz w:val="24"/>
        </w:rPr>
        <w:t>管理人应对该估值数据的真实性、准确性、完整性、合规性负责，因上述估值数据错误导致估值结果的不真实、不准确、不完整、不合规，</w:t>
      </w:r>
      <w:r w:rsidR="00E10F61">
        <w:rPr>
          <w:rFonts w:ascii="宋体" w:hAnsi="宋体" w:cs="Arial" w:hint="eastAsia"/>
          <w:color w:val="000000" w:themeColor="text1"/>
          <w:sz w:val="24"/>
        </w:rPr>
        <w:t>基金</w:t>
      </w:r>
      <w:r w:rsidR="002B0EF8" w:rsidRPr="002B0EF8">
        <w:rPr>
          <w:rFonts w:ascii="宋体" w:hAnsi="宋体" w:cs="Arial" w:hint="eastAsia"/>
          <w:color w:val="000000" w:themeColor="text1"/>
          <w:sz w:val="24"/>
        </w:rPr>
        <w:t>托管人不承担任何责任。</w:t>
      </w:r>
    </w:p>
    <w:p w14:paraId="6A98C0C3" w14:textId="214B90DF" w:rsidR="00DF5F45" w:rsidRDefault="00153BE1" w:rsidP="00B07665">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sidR="0006019E">
        <w:rPr>
          <w:rFonts w:ascii="宋体" w:hAnsi="宋体" w:cs="Arial"/>
          <w:color w:val="000000" w:themeColor="text1"/>
          <w:sz w:val="24"/>
        </w:rPr>
        <w:t>1</w:t>
      </w:r>
      <w:r w:rsidR="0006019E">
        <w:rPr>
          <w:rFonts w:ascii="宋体" w:hAnsi="宋体" w:cs="Arial" w:hint="eastAsia"/>
          <w:color w:val="000000" w:themeColor="text1"/>
          <w:sz w:val="24"/>
        </w:rPr>
        <w:t>4</w:t>
      </w:r>
      <w:r>
        <w:rPr>
          <w:rFonts w:ascii="宋体" w:hAnsi="宋体" w:cs="Arial"/>
          <w:color w:val="000000" w:themeColor="text1"/>
          <w:sz w:val="24"/>
        </w:rPr>
        <w:t>）</w:t>
      </w:r>
      <w:r>
        <w:rPr>
          <w:rFonts w:ascii="宋体" w:hAnsi="宋体" w:cs="Arial" w:hint="eastAsia"/>
          <w:color w:val="000000" w:themeColor="text1"/>
          <w:sz w:val="24"/>
        </w:rPr>
        <w:t>当本基金发生大额申购或赎回情形时，基金管理人可以采用摆动定价机制，以确保基金估值的公平性。具体处理原则与操作规范遵循相关法律法规以及监管部门、自律规则的规定。</w:t>
      </w:r>
    </w:p>
    <w:p w14:paraId="0127E99C" w14:textId="330C4B28"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1</w:t>
      </w:r>
      <w:r w:rsidR="0006019E">
        <w:rPr>
          <w:rFonts w:ascii="宋体" w:hAnsi="宋体" w:cs="Arial" w:hint="eastAsia"/>
          <w:color w:val="000000" w:themeColor="text1"/>
          <w:sz w:val="24"/>
        </w:rPr>
        <w:t>5</w:t>
      </w:r>
      <w:r>
        <w:rPr>
          <w:rFonts w:ascii="宋体" w:hAnsi="宋体" w:cs="Arial" w:hint="eastAsia"/>
          <w:color w:val="000000" w:themeColor="text1"/>
          <w:sz w:val="24"/>
        </w:rPr>
        <w:t>）相关法律法规以及监管部门有强制规定的，从其规定。如有新增事项，按国家最新规定估值。</w:t>
      </w:r>
    </w:p>
    <w:p w14:paraId="7339C74E"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AA0000A" w14:textId="77777777" w:rsidR="00DF5F45" w:rsidRDefault="00153BE1">
      <w:pPr>
        <w:adjustRightInd w:val="0"/>
        <w:snapToGrid w:val="0"/>
        <w:spacing w:line="360" w:lineRule="auto"/>
        <w:ind w:firstLine="480"/>
        <w:rPr>
          <w:rFonts w:ascii="宋体" w:hAnsi="宋体"/>
          <w:color w:val="000000" w:themeColor="text1"/>
          <w:sz w:val="24"/>
          <w:szCs w:val="21"/>
        </w:rPr>
      </w:pPr>
      <w:r>
        <w:rPr>
          <w:rFonts w:ascii="宋体" w:hAnsi="宋体" w:cs="Arial" w:hint="eastAsia"/>
          <w:color w:val="000000" w:themeColor="text1"/>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r>
        <w:rPr>
          <w:rFonts w:hint="eastAsia"/>
          <w:bCs/>
          <w:color w:val="000000" w:themeColor="text1"/>
          <w:sz w:val="24"/>
        </w:rPr>
        <w:t>基金管理人向基金托管人出具盖章的书面说明后，</w:t>
      </w:r>
      <w:r>
        <w:rPr>
          <w:rFonts w:ascii="宋体" w:hAnsi="宋体" w:cs="Arial" w:hint="eastAsia"/>
          <w:color w:val="000000" w:themeColor="text1"/>
          <w:sz w:val="24"/>
        </w:rPr>
        <w:t>按照基金管理人对基金净值的计算结果对外予以公布</w:t>
      </w:r>
      <w:r>
        <w:rPr>
          <w:rFonts w:ascii="宋体" w:hAnsi="宋体" w:hint="eastAsia"/>
          <w:color w:val="000000" w:themeColor="text1"/>
          <w:sz w:val="24"/>
          <w:szCs w:val="21"/>
        </w:rPr>
        <w:t>。</w:t>
      </w:r>
    </w:p>
    <w:p w14:paraId="372E32A9" w14:textId="77777777" w:rsidR="00DF5F45" w:rsidRDefault="00153BE1">
      <w:pPr>
        <w:adjustRightInd w:val="0"/>
        <w:snapToGrid w:val="0"/>
        <w:spacing w:line="360" w:lineRule="auto"/>
        <w:ind w:firstLine="480"/>
        <w:rPr>
          <w:rStyle w:val="read"/>
          <w:rFonts w:ascii="宋体" w:hAnsi="宋体" w:cs="Arial"/>
          <w:color w:val="000000" w:themeColor="text1"/>
          <w:sz w:val="24"/>
        </w:rPr>
      </w:pPr>
      <w:r>
        <w:rPr>
          <w:rStyle w:val="read"/>
          <w:rFonts w:ascii="宋体" w:hAnsi="宋体" w:cs="Arial"/>
          <w:color w:val="000000" w:themeColor="text1"/>
          <w:sz w:val="24"/>
        </w:rPr>
        <w:t>3.特殊情形的处理</w:t>
      </w:r>
    </w:p>
    <w:p w14:paraId="025A4BA0" w14:textId="79AC1BDD" w:rsidR="00DF5F45" w:rsidRDefault="00153BE1">
      <w:pPr>
        <w:adjustRightInd w:val="0"/>
        <w:snapToGrid w:val="0"/>
        <w:spacing w:line="360" w:lineRule="auto"/>
        <w:ind w:firstLineChars="200" w:firstLine="480"/>
        <w:rPr>
          <w:rStyle w:val="read"/>
          <w:rFonts w:ascii="宋体" w:hAnsi="宋体"/>
          <w:color w:val="000000" w:themeColor="text1"/>
          <w:sz w:val="24"/>
        </w:rPr>
      </w:pPr>
      <w:r>
        <w:rPr>
          <w:rStyle w:val="read"/>
          <w:rFonts w:ascii="宋体" w:hAnsi="宋体" w:cs="Arial" w:hint="eastAsia"/>
          <w:color w:val="000000" w:themeColor="text1"/>
          <w:sz w:val="24"/>
        </w:rPr>
        <w:t>基金管理人或基</w:t>
      </w:r>
      <w:bookmarkStart w:id="87" w:name="OLE_LINK9"/>
      <w:bookmarkStart w:id="88" w:name="OLE_LINK8"/>
      <w:r>
        <w:rPr>
          <w:rStyle w:val="read"/>
          <w:rFonts w:ascii="宋体" w:hAnsi="宋体" w:cs="Arial" w:hint="eastAsia"/>
          <w:color w:val="000000" w:themeColor="text1"/>
          <w:sz w:val="24"/>
        </w:rPr>
        <w:t>金托管人按估值方法</w:t>
      </w:r>
      <w:bookmarkEnd w:id="87"/>
      <w:bookmarkEnd w:id="88"/>
      <w:r>
        <w:rPr>
          <w:rStyle w:val="read"/>
          <w:rFonts w:ascii="宋体" w:hAnsi="宋体" w:cs="Arial" w:hint="eastAsia"/>
          <w:color w:val="000000" w:themeColor="text1"/>
          <w:sz w:val="24"/>
        </w:rPr>
        <w:t>的第</w:t>
      </w:r>
      <w:r>
        <w:rPr>
          <w:rStyle w:val="read"/>
          <w:rFonts w:ascii="宋体" w:hAnsi="宋体" w:cs="Arial"/>
          <w:color w:val="000000" w:themeColor="text1"/>
          <w:sz w:val="24"/>
        </w:rPr>
        <w:t>(</w:t>
      </w:r>
      <w:r w:rsidR="002B0EF8">
        <w:rPr>
          <w:rStyle w:val="read"/>
          <w:rFonts w:ascii="宋体" w:hAnsi="宋体" w:cs="Arial" w:hint="eastAsia"/>
          <w:color w:val="000000" w:themeColor="text1"/>
          <w:sz w:val="24"/>
        </w:rPr>
        <w:t>11</w:t>
      </w:r>
      <w:r>
        <w:rPr>
          <w:rStyle w:val="read"/>
          <w:rFonts w:ascii="宋体" w:hAnsi="宋体" w:cs="Arial"/>
          <w:color w:val="000000" w:themeColor="text1"/>
          <w:sz w:val="24"/>
        </w:rPr>
        <w:t>)</w:t>
      </w:r>
      <w:r>
        <w:rPr>
          <w:rStyle w:val="read"/>
          <w:rFonts w:ascii="宋体" w:hAnsi="宋体" w:cs="Arial" w:hint="eastAsia"/>
          <w:color w:val="000000" w:themeColor="text1"/>
          <w:sz w:val="24"/>
        </w:rPr>
        <w:t>项进行估值时，所造成的误差不作为基金资产估值</w:t>
      </w:r>
      <w:r>
        <w:rPr>
          <w:rStyle w:val="read"/>
          <w:rFonts w:ascii="宋体" w:hAnsi="宋体" w:hint="eastAsia"/>
          <w:color w:val="000000" w:themeColor="text1"/>
          <w:sz w:val="24"/>
        </w:rPr>
        <w:t>错误处理。</w:t>
      </w:r>
    </w:p>
    <w:p w14:paraId="5D13DE83" w14:textId="77777777" w:rsidR="00DF5F45" w:rsidRDefault="00153BE1">
      <w:pPr>
        <w:adjustRightInd w:val="0"/>
        <w:snapToGrid w:val="0"/>
        <w:spacing w:line="360" w:lineRule="auto"/>
        <w:ind w:firstLineChars="200" w:firstLine="480"/>
        <w:rPr>
          <w:rStyle w:val="read"/>
          <w:rFonts w:ascii="宋体" w:hAnsi="宋体"/>
          <w:color w:val="000000" w:themeColor="text1"/>
          <w:sz w:val="24"/>
        </w:rPr>
      </w:pPr>
      <w:r>
        <w:rPr>
          <w:rStyle w:val="read"/>
          <w:rFonts w:ascii="宋体" w:hAnsi="宋体" w:hint="eastAsia"/>
          <w:color w:val="000000" w:themeColor="text1"/>
          <w:sz w:val="24"/>
        </w:rPr>
        <w:t>（三）基金份额净值错误的处理方式</w:t>
      </w:r>
    </w:p>
    <w:p w14:paraId="5E4C39EE" w14:textId="77777777" w:rsidR="00DF5F45" w:rsidRDefault="00153BE1">
      <w:pPr>
        <w:adjustRightInd w:val="0"/>
        <w:snapToGrid w:val="0"/>
        <w:spacing w:line="360" w:lineRule="auto"/>
        <w:ind w:firstLineChars="200" w:firstLine="480"/>
        <w:rPr>
          <w:rStyle w:val="read"/>
          <w:rFonts w:ascii="宋体" w:hAnsi="宋体"/>
          <w:color w:val="000000" w:themeColor="text1"/>
          <w:sz w:val="24"/>
        </w:rPr>
      </w:pPr>
      <w:r>
        <w:rPr>
          <w:rStyle w:val="read"/>
          <w:rFonts w:ascii="宋体" w:hAnsi="宋体"/>
          <w:color w:val="000000" w:themeColor="text1"/>
          <w:sz w:val="24"/>
        </w:rPr>
        <w:t>1</w:t>
      </w:r>
      <w:r>
        <w:rPr>
          <w:rFonts w:ascii="宋体" w:hAnsi="宋体" w:cs="Arial"/>
          <w:color w:val="000000" w:themeColor="text1"/>
          <w:sz w:val="24"/>
        </w:rPr>
        <w:t>.</w:t>
      </w:r>
      <w:r>
        <w:rPr>
          <w:rStyle w:val="read"/>
          <w:rFonts w:ascii="宋体" w:hAnsi="宋体" w:hint="eastAsia"/>
          <w:color w:val="000000" w:themeColor="text1"/>
          <w:sz w:val="24"/>
        </w:rPr>
        <w:t>基金份额净值估值错误处理的方法如下：</w:t>
      </w:r>
    </w:p>
    <w:p w14:paraId="2D575759" w14:textId="77777777" w:rsidR="00DF5F45" w:rsidRDefault="00153BE1">
      <w:pPr>
        <w:adjustRightInd w:val="0"/>
        <w:snapToGrid w:val="0"/>
        <w:spacing w:line="360" w:lineRule="auto"/>
        <w:ind w:firstLineChars="200" w:firstLine="480"/>
        <w:rPr>
          <w:rStyle w:val="read"/>
          <w:rFonts w:ascii="宋体" w:hAnsi="宋体"/>
          <w:color w:val="000000" w:themeColor="text1"/>
          <w:sz w:val="24"/>
        </w:rPr>
      </w:pPr>
      <w:r>
        <w:rPr>
          <w:rStyle w:val="read"/>
          <w:rFonts w:ascii="宋体" w:hAnsi="宋体" w:hint="eastAsia"/>
          <w:color w:val="000000" w:themeColor="text1"/>
          <w:sz w:val="24"/>
        </w:rPr>
        <w:t>（</w:t>
      </w:r>
      <w:r>
        <w:rPr>
          <w:rStyle w:val="read"/>
          <w:rFonts w:ascii="宋体" w:hAnsi="宋体"/>
          <w:color w:val="000000" w:themeColor="text1"/>
          <w:sz w:val="24"/>
        </w:rPr>
        <w:t>1）当某一类别基金份额净值小数点后4位以内(含第4位)发生</w:t>
      </w:r>
      <w:r>
        <w:rPr>
          <w:rStyle w:val="read"/>
          <w:rFonts w:ascii="宋体" w:hAnsi="宋体" w:hint="eastAsia"/>
          <w:color w:val="000000" w:themeColor="text1"/>
          <w:sz w:val="24"/>
        </w:rPr>
        <w:t>估值错误时，视为该类别基金份额净值错误；基金份额净值计算出现错误时，基金管理人应当立即予以纠正，通报基金托管人，并采取合理的措施防止损失进一步扩大。</w:t>
      </w:r>
    </w:p>
    <w:p w14:paraId="0ABEBCCA" w14:textId="77777777" w:rsidR="00DF5F45" w:rsidRDefault="00153BE1">
      <w:pPr>
        <w:adjustRightInd w:val="0"/>
        <w:snapToGrid w:val="0"/>
        <w:spacing w:line="360" w:lineRule="auto"/>
        <w:ind w:firstLineChars="200" w:firstLine="480"/>
        <w:rPr>
          <w:rStyle w:val="read"/>
          <w:rFonts w:ascii="宋体" w:hAnsi="宋体"/>
          <w:color w:val="000000" w:themeColor="text1"/>
          <w:sz w:val="24"/>
        </w:rPr>
      </w:pPr>
      <w:r>
        <w:rPr>
          <w:rStyle w:val="read"/>
          <w:rFonts w:ascii="宋体" w:hAnsi="宋体" w:hint="eastAsia"/>
          <w:color w:val="000000" w:themeColor="text1"/>
          <w:sz w:val="24"/>
        </w:rPr>
        <w:t>（</w:t>
      </w:r>
      <w:r>
        <w:rPr>
          <w:rStyle w:val="read"/>
          <w:rFonts w:ascii="宋体" w:hAnsi="宋体"/>
          <w:color w:val="000000" w:themeColor="text1"/>
          <w:sz w:val="24"/>
        </w:rPr>
        <w:t>2）错误偏差达到该类别基金份额净值的0.25%时，基金管理人应当通报基</w:t>
      </w:r>
      <w:r>
        <w:rPr>
          <w:rStyle w:val="read"/>
          <w:rFonts w:ascii="宋体" w:hAnsi="宋体"/>
          <w:color w:val="000000" w:themeColor="text1"/>
          <w:sz w:val="24"/>
        </w:rPr>
        <w:lastRenderedPageBreak/>
        <w:t>金托管人并报中国证监会备案；错误偏差达到该类别基金份额净值的0.5%时，基金管理人应当公告，并报中国证监会备案。当发生净值计算错误时，由基金管理人负责处理，由此给基金份额持有人和基金造成损失的，应由基金管理人先行赔付，基金管理人按差错情形，有权向其他当事人追偿。</w:t>
      </w:r>
    </w:p>
    <w:p w14:paraId="525D417C" w14:textId="77777777" w:rsidR="00DF5F45" w:rsidRDefault="00153BE1">
      <w:pPr>
        <w:adjustRightInd w:val="0"/>
        <w:snapToGrid w:val="0"/>
        <w:spacing w:line="360" w:lineRule="auto"/>
        <w:ind w:firstLineChars="200" w:firstLine="480"/>
        <w:rPr>
          <w:rStyle w:val="read"/>
          <w:rFonts w:ascii="宋体" w:hAnsi="宋体"/>
          <w:color w:val="000000" w:themeColor="text1"/>
          <w:sz w:val="24"/>
        </w:rPr>
      </w:pPr>
      <w:r>
        <w:rPr>
          <w:rStyle w:val="read"/>
          <w:rFonts w:ascii="宋体" w:hAnsi="宋体"/>
          <w:color w:val="000000" w:themeColor="text1"/>
          <w:sz w:val="24"/>
        </w:rPr>
        <w:t>2.当基金份额净值计算差错给基金和基金份额持有人造成损失需要进行赔偿时，基金管理人和基金托管人根据实际情况界定双方承担的责任，经确认后按以下条款进行赔偿：</w:t>
      </w:r>
    </w:p>
    <w:p w14:paraId="5EA62369" w14:textId="77777777" w:rsidR="00DF5F45" w:rsidRDefault="00153BE1">
      <w:pPr>
        <w:adjustRightInd w:val="0"/>
        <w:snapToGrid w:val="0"/>
        <w:spacing w:line="360" w:lineRule="auto"/>
        <w:ind w:firstLineChars="200" w:firstLine="480"/>
        <w:rPr>
          <w:rStyle w:val="read"/>
          <w:rFonts w:ascii="宋体" w:hAnsi="宋体"/>
          <w:color w:val="000000" w:themeColor="text1"/>
          <w:sz w:val="24"/>
        </w:rPr>
      </w:pPr>
      <w:r>
        <w:rPr>
          <w:rStyle w:val="read"/>
          <w:rFonts w:ascii="宋体" w:hAnsi="宋体"/>
          <w:color w:val="000000" w:themeColor="text1"/>
          <w:sz w:val="24"/>
        </w:rPr>
        <w:t>(1)本基金的基金会计责任方由基金管理人担任，与本基金有关的会计问题，</w:t>
      </w:r>
      <w:r>
        <w:rPr>
          <w:rStyle w:val="read"/>
          <w:rFonts w:ascii="宋体" w:hAnsi="宋体" w:hint="eastAsia"/>
          <w:color w:val="000000" w:themeColor="text1"/>
          <w:sz w:val="24"/>
        </w:rPr>
        <w:t>如经双方在平等基础上充分讨论后，尚不能达成一致时，按基金管理人的建议执行，由此给基金份额持有人和基金财产造成的损失，由基金管理人负责赔付。</w:t>
      </w:r>
    </w:p>
    <w:p w14:paraId="26A96C88" w14:textId="20D9EA2E" w:rsidR="00DF5F45" w:rsidRDefault="00153BE1">
      <w:pPr>
        <w:adjustRightInd w:val="0"/>
        <w:snapToGrid w:val="0"/>
        <w:spacing w:line="360" w:lineRule="auto"/>
        <w:ind w:firstLineChars="200" w:firstLine="480"/>
        <w:rPr>
          <w:rStyle w:val="read"/>
          <w:rFonts w:ascii="宋体" w:hAnsi="宋体"/>
          <w:color w:val="000000" w:themeColor="text1"/>
          <w:sz w:val="24"/>
        </w:rPr>
      </w:pPr>
      <w:r>
        <w:rPr>
          <w:rStyle w:val="read"/>
          <w:rFonts w:ascii="宋体" w:hAnsi="宋体"/>
          <w:color w:val="000000" w:themeColor="text1"/>
          <w:sz w:val="24"/>
        </w:rPr>
        <w:t>(2)若基金管理人计算的各类别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w:t>
      </w:r>
      <w:r w:rsidR="00876E47" w:rsidRPr="00876E47">
        <w:rPr>
          <w:rStyle w:val="read"/>
          <w:rFonts w:ascii="宋体" w:hAnsi="宋体" w:hint="eastAsia"/>
          <w:color w:val="000000" w:themeColor="text1"/>
          <w:sz w:val="24"/>
        </w:rPr>
        <w:t>管理费和托管费的比例</w:t>
      </w:r>
      <w:r w:rsidR="00876E47">
        <w:rPr>
          <w:rStyle w:val="read"/>
          <w:rFonts w:ascii="宋体" w:hAnsi="宋体" w:hint="eastAsia"/>
          <w:color w:val="000000" w:themeColor="text1"/>
          <w:sz w:val="24"/>
        </w:rPr>
        <w:t>各自</w:t>
      </w:r>
      <w:r>
        <w:rPr>
          <w:rStyle w:val="read"/>
          <w:rFonts w:ascii="宋体" w:hAnsi="宋体"/>
          <w:color w:val="000000" w:themeColor="text1"/>
          <w:sz w:val="24"/>
        </w:rPr>
        <w:t>承担相应的责任。</w:t>
      </w:r>
    </w:p>
    <w:p w14:paraId="4CB55AC6" w14:textId="77777777" w:rsidR="00DF5F45" w:rsidRDefault="00153BE1">
      <w:pPr>
        <w:adjustRightInd w:val="0"/>
        <w:snapToGrid w:val="0"/>
        <w:spacing w:line="360" w:lineRule="auto"/>
        <w:ind w:firstLineChars="200" w:firstLine="480"/>
        <w:rPr>
          <w:rStyle w:val="read"/>
          <w:rFonts w:ascii="宋体" w:hAnsi="宋体"/>
          <w:color w:val="000000" w:themeColor="text1"/>
          <w:sz w:val="24"/>
        </w:rPr>
      </w:pPr>
      <w:r>
        <w:rPr>
          <w:rStyle w:val="read"/>
          <w:rFonts w:ascii="宋体" w:hAnsi="宋体"/>
          <w:color w:val="000000" w:themeColor="text1"/>
          <w:sz w:val="24"/>
        </w:rPr>
        <w:t>(3）如基金管理人和基金托管人对各类别基金份额净值的计算结果，虽然多次重新计算和核对，尚不能达成一致时，为避免不能按时公布各类别基金份额净值的情形，基金管理人向基金托管人出具盖章说明后，以基金管理人的计算结果对外公布，由此给基金份额持有人和基金造成的损失，由基金管理人负责赔付。</w:t>
      </w:r>
    </w:p>
    <w:p w14:paraId="64682EB3" w14:textId="77777777" w:rsidR="00DF5F45" w:rsidRDefault="00153BE1">
      <w:pPr>
        <w:adjustRightInd w:val="0"/>
        <w:snapToGrid w:val="0"/>
        <w:spacing w:line="360" w:lineRule="auto"/>
        <w:ind w:firstLineChars="200" w:firstLine="480"/>
        <w:rPr>
          <w:rStyle w:val="read"/>
          <w:rFonts w:ascii="宋体" w:hAnsi="宋体"/>
          <w:color w:val="000000" w:themeColor="text1"/>
          <w:sz w:val="24"/>
        </w:rPr>
      </w:pPr>
      <w:r>
        <w:rPr>
          <w:rStyle w:val="read"/>
          <w:rFonts w:ascii="宋体" w:hAnsi="宋体"/>
          <w:color w:val="000000" w:themeColor="text1"/>
          <w:sz w:val="24"/>
        </w:rPr>
        <w:t>(4)由于基金管理人提供的信息错误（包括但不限于基金申购或赎回金额等），进而导致基金份额净值计算错误而引起的基金份额持有人和基金财产的损失，由基金管理人负责赔付。</w:t>
      </w:r>
    </w:p>
    <w:p w14:paraId="0BD481E4" w14:textId="77777777" w:rsidR="00DF5F45" w:rsidRDefault="00153BE1">
      <w:pPr>
        <w:adjustRightInd w:val="0"/>
        <w:snapToGrid w:val="0"/>
        <w:spacing w:line="360" w:lineRule="auto"/>
        <w:ind w:firstLineChars="200" w:firstLine="480"/>
        <w:rPr>
          <w:rStyle w:val="read"/>
          <w:rFonts w:ascii="宋体" w:hAnsi="宋体"/>
          <w:color w:val="000000" w:themeColor="text1"/>
          <w:sz w:val="24"/>
        </w:rPr>
      </w:pPr>
      <w:r>
        <w:rPr>
          <w:rStyle w:val="read"/>
          <w:rFonts w:ascii="宋体" w:hAnsi="宋体"/>
          <w:color w:val="000000" w:themeColor="text1"/>
          <w:sz w:val="24"/>
        </w:rPr>
        <w:t>3.</w:t>
      </w:r>
      <w:r>
        <w:rPr>
          <w:rFonts w:hint="eastAsia"/>
          <w:bCs/>
          <w:color w:val="000000" w:themeColor="text1"/>
          <w:sz w:val="24"/>
        </w:rPr>
        <w:t>由于不可抗力原因，或由于证券</w:t>
      </w:r>
      <w:r>
        <w:rPr>
          <w:bCs/>
          <w:color w:val="000000" w:themeColor="text1"/>
          <w:sz w:val="24"/>
        </w:rPr>
        <w:t>/</w:t>
      </w:r>
      <w:r>
        <w:rPr>
          <w:rFonts w:hint="eastAsia"/>
          <w:bCs/>
          <w:color w:val="000000" w:themeColor="text1"/>
          <w:sz w:val="24"/>
        </w:rPr>
        <w:t>期货交易所、证券</w:t>
      </w:r>
      <w:r>
        <w:rPr>
          <w:bCs/>
          <w:color w:val="000000" w:themeColor="text1"/>
          <w:sz w:val="24"/>
        </w:rPr>
        <w:t>/</w:t>
      </w:r>
      <w:r>
        <w:rPr>
          <w:rFonts w:hint="eastAsia"/>
          <w:bCs/>
          <w:color w:val="000000" w:themeColor="text1"/>
          <w:sz w:val="24"/>
        </w:rPr>
        <w:t>期货经纪机构、登记机构及存款银行或第三方估值基准服务机构发送的数据错误、遗漏，或国家会计政策变更、市场规则变更等非基金管理人与基金托管人原因，基金管理人和基金托管人虽然已经采取必要、适当、合理的措施进行检查，但未能发现错误或因前述原因未能避免或更正错误的，由此造成的基金资产估值错误，基金管理人和基金托管人免除赔偿责任，但基金管理人、基金托管人应当积极采取必要的措施消除或减轻由此造成的影响。</w:t>
      </w:r>
    </w:p>
    <w:p w14:paraId="7287BAC7" w14:textId="77777777" w:rsidR="00DF5F45" w:rsidRDefault="00153BE1">
      <w:pPr>
        <w:adjustRightInd w:val="0"/>
        <w:snapToGrid w:val="0"/>
        <w:spacing w:line="360" w:lineRule="auto"/>
        <w:ind w:firstLineChars="200" w:firstLine="480"/>
        <w:rPr>
          <w:rStyle w:val="read"/>
          <w:rFonts w:ascii="宋体" w:hAnsi="宋体"/>
          <w:color w:val="000000" w:themeColor="text1"/>
          <w:sz w:val="24"/>
        </w:rPr>
      </w:pPr>
      <w:r>
        <w:rPr>
          <w:rStyle w:val="read"/>
          <w:rFonts w:ascii="宋体" w:hAnsi="宋体"/>
          <w:color w:val="000000" w:themeColor="text1"/>
          <w:sz w:val="24"/>
        </w:rPr>
        <w:t>4.基金管理人和基金托管人由于各自技术系统设置而产生的净值计算尾差，</w:t>
      </w:r>
      <w:r>
        <w:rPr>
          <w:rStyle w:val="read"/>
          <w:rFonts w:ascii="宋体" w:hAnsi="宋体"/>
          <w:color w:val="000000" w:themeColor="text1"/>
          <w:sz w:val="24"/>
        </w:rPr>
        <w:lastRenderedPageBreak/>
        <w:t>以基金管理人计算结果为准。</w:t>
      </w:r>
    </w:p>
    <w:p w14:paraId="5C1551E9" w14:textId="77777777" w:rsidR="00DF5F45" w:rsidRDefault="00153BE1">
      <w:pPr>
        <w:adjustRightInd w:val="0"/>
        <w:snapToGrid w:val="0"/>
        <w:spacing w:line="360" w:lineRule="auto"/>
        <w:ind w:firstLine="480"/>
        <w:rPr>
          <w:rStyle w:val="read"/>
          <w:rFonts w:ascii="宋体" w:hAnsi="宋体"/>
          <w:color w:val="000000" w:themeColor="text1"/>
          <w:sz w:val="24"/>
        </w:rPr>
      </w:pPr>
      <w:r>
        <w:rPr>
          <w:rStyle w:val="read"/>
          <w:rFonts w:ascii="宋体" w:hAnsi="宋体"/>
          <w:color w:val="000000" w:themeColor="text1"/>
          <w:sz w:val="24"/>
        </w:rPr>
        <w:t>5.前述内容如法律法规或监管机关另有规定的，从其规定处理。如果行业有通行做法，在不违背法律法规且不损害投资者利益的前提下，基金管理人与基金托管人应本着平等和保护基金份额持有人利益的原则重新协商确定处理原则。</w:t>
      </w:r>
    </w:p>
    <w:p w14:paraId="38F44DF5"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（四）暂停估值的情形</w:t>
      </w:r>
    </w:p>
    <w:p w14:paraId="0F5F8294" w14:textId="77777777" w:rsidR="00DF5F45" w:rsidRDefault="00153BE1">
      <w:pPr>
        <w:adjustRightInd w:val="0"/>
        <w:snapToGrid w:val="0"/>
        <w:spacing w:line="360" w:lineRule="auto"/>
        <w:ind w:firstLine="480"/>
        <w:rPr>
          <w:rFonts w:ascii="宋体" w:hAnsi="宋体" w:cs="Arial"/>
          <w:color w:val="000000" w:themeColor="text1"/>
          <w:sz w:val="24"/>
        </w:rPr>
      </w:pPr>
      <w:bookmarkStart w:id="89" w:name="_Hlk227059485"/>
      <w:r>
        <w:rPr>
          <w:rFonts w:ascii="宋体" w:hAnsi="宋体" w:cs="Arial"/>
          <w:color w:val="000000" w:themeColor="text1"/>
          <w:sz w:val="24"/>
        </w:rPr>
        <w:t>1.</w:t>
      </w:r>
      <w:r>
        <w:rPr>
          <w:rFonts w:hint="eastAsia"/>
          <w:bCs/>
          <w:color w:val="000000" w:themeColor="text1"/>
          <w:sz w:val="24"/>
        </w:rPr>
        <w:t>基金投资所涉及的证券、期货交易市场或外汇市场遇法定节假日或基金参与港股通交易且港股通临时停市或因其他原因暂停营业时</w:t>
      </w:r>
      <w:r>
        <w:rPr>
          <w:rFonts w:ascii="宋体" w:hAnsi="宋体" w:cs="Arial" w:hint="eastAsia"/>
          <w:color w:val="000000" w:themeColor="text1"/>
          <w:sz w:val="24"/>
        </w:rPr>
        <w:t>；</w:t>
      </w:r>
    </w:p>
    <w:p w14:paraId="5E2121AF"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2.</w:t>
      </w:r>
      <w:r>
        <w:rPr>
          <w:rFonts w:hint="eastAsia"/>
          <w:bCs/>
          <w:color w:val="000000" w:themeColor="text1"/>
          <w:sz w:val="24"/>
        </w:rPr>
        <w:t>因不可抗力或其他情形致使基金管理人、基金托管人无法准确评估基金资产价值时</w:t>
      </w:r>
      <w:r>
        <w:rPr>
          <w:rFonts w:ascii="宋体" w:hAnsi="宋体" w:cs="Arial" w:hint="eastAsia"/>
          <w:color w:val="000000" w:themeColor="text1"/>
          <w:sz w:val="24"/>
        </w:rPr>
        <w:t>；</w:t>
      </w:r>
    </w:p>
    <w:p w14:paraId="38162013"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3.</w:t>
      </w:r>
      <w:r>
        <w:rPr>
          <w:rFonts w:hint="eastAsia"/>
          <w:bCs/>
          <w:color w:val="000000" w:themeColor="text1"/>
          <w:sz w:val="24"/>
        </w:rPr>
        <w:t>当特定资产占前一估值日基金资产净值</w:t>
      </w:r>
      <w:r>
        <w:rPr>
          <w:bCs/>
          <w:color w:val="000000" w:themeColor="text1"/>
          <w:sz w:val="24"/>
        </w:rPr>
        <w:t>50%</w:t>
      </w:r>
      <w:r>
        <w:rPr>
          <w:rFonts w:hint="eastAsia"/>
          <w:bCs/>
          <w:color w:val="000000" w:themeColor="text1"/>
          <w:sz w:val="24"/>
        </w:rPr>
        <w:t>以上的，经与基金托管人协商确认后，基金管理人应当暂停估值</w:t>
      </w:r>
      <w:r>
        <w:rPr>
          <w:rFonts w:ascii="宋体" w:hAnsi="宋体" w:cs="Arial" w:hint="eastAsia"/>
          <w:color w:val="000000" w:themeColor="text1"/>
          <w:sz w:val="24"/>
        </w:rPr>
        <w:t>；</w:t>
      </w:r>
    </w:p>
    <w:p w14:paraId="43D94927"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4.法律法规规定、中国证监会和《基金合同》认定的其它情形。</w:t>
      </w:r>
    </w:p>
    <w:bookmarkEnd w:id="89"/>
    <w:p w14:paraId="01D82541"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（五）实施侧袋机制期间的基金资产估值</w:t>
      </w:r>
    </w:p>
    <w:p w14:paraId="5C19D80C"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本基金实施侧袋机制的，应根据本部分的约定对主袋账户资产进行估值并披露主袋账户的基金净值信息，暂停披露侧袋账户份额净值。</w:t>
      </w:r>
    </w:p>
    <w:p w14:paraId="66822F5B"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（六）基金会计制度</w:t>
      </w:r>
    </w:p>
    <w:p w14:paraId="2B5FB597"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按国家有关部门规定的会计制度执行。</w:t>
      </w:r>
    </w:p>
    <w:p w14:paraId="11C61B2E"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（七）基金账册的建立</w:t>
      </w:r>
    </w:p>
    <w:p w14:paraId="780D6576"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管理人进行基金会计核算并编制基金财务会计报告。基金管理人、基金托管人分别独立地设置、记录和保管本基金的全套账册。若基金管理人和基金托管人对会计处理方法存在分歧，应以基金管理人的处理方法为准。若当日核对不符，暂时无法查找到错账的原因而影响到基金净值信息的计算和公告的，以基金管理人的账册为准。</w:t>
      </w:r>
    </w:p>
    <w:p w14:paraId="34FA5116" w14:textId="77777777" w:rsidR="00DF5F45" w:rsidRDefault="00153BE1">
      <w:pPr>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（八）基金财务报表与报告的编制和复核</w:t>
      </w:r>
    </w:p>
    <w:p w14:paraId="02057E28"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1.财务报表</w:t>
      </w:r>
      <w:r>
        <w:rPr>
          <w:rFonts w:ascii="宋体" w:hAnsi="宋体" w:cs="Arial" w:hint="eastAsia"/>
          <w:color w:val="000000" w:themeColor="text1"/>
          <w:sz w:val="24"/>
        </w:rPr>
        <w:t>与报告</w:t>
      </w:r>
      <w:r>
        <w:rPr>
          <w:rFonts w:ascii="宋体" w:hAnsi="宋体" w:cs="Arial"/>
          <w:color w:val="000000" w:themeColor="text1"/>
          <w:sz w:val="24"/>
        </w:rPr>
        <w:t>的编制</w:t>
      </w:r>
    </w:p>
    <w:p w14:paraId="27C56ABF"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基金财务报表与报告由基金管理人编制，基金托管人复核。</w:t>
      </w:r>
    </w:p>
    <w:p w14:paraId="5B9CED4A"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2.报表</w:t>
      </w:r>
      <w:r>
        <w:rPr>
          <w:rFonts w:ascii="宋体" w:hAnsi="宋体" w:cs="Arial" w:hint="eastAsia"/>
          <w:color w:val="000000" w:themeColor="text1"/>
          <w:sz w:val="24"/>
        </w:rPr>
        <w:t>与报告</w:t>
      </w:r>
      <w:r>
        <w:rPr>
          <w:rFonts w:ascii="宋体" w:hAnsi="宋体" w:cs="Arial"/>
          <w:color w:val="000000" w:themeColor="text1"/>
          <w:sz w:val="24"/>
        </w:rPr>
        <w:t>复核</w:t>
      </w:r>
    </w:p>
    <w:p w14:paraId="2E4820CD"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基金托管人在收到基金管理人编制的基金财务报表与报告后，进行独立的复核。核对不符时，应及时通知基金管理人共同查出原因，进行调整，直至双方数据完全一致。</w:t>
      </w:r>
    </w:p>
    <w:p w14:paraId="201F280C"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lastRenderedPageBreak/>
        <w:t>3.财务报表</w:t>
      </w:r>
      <w:r>
        <w:rPr>
          <w:rFonts w:ascii="宋体" w:hAnsi="宋体" w:cs="Arial" w:hint="eastAsia"/>
          <w:color w:val="000000" w:themeColor="text1"/>
          <w:sz w:val="24"/>
        </w:rPr>
        <w:t>与报告</w:t>
      </w:r>
      <w:r>
        <w:rPr>
          <w:rFonts w:ascii="宋体" w:hAnsi="宋体" w:cs="Arial"/>
          <w:color w:val="000000" w:themeColor="text1"/>
          <w:sz w:val="24"/>
        </w:rPr>
        <w:t>的编制与复核时间安排</w:t>
      </w:r>
    </w:p>
    <w:p w14:paraId="66502A73"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(1)报表</w:t>
      </w:r>
      <w:r>
        <w:rPr>
          <w:rFonts w:ascii="宋体" w:hAnsi="宋体" w:cs="Arial" w:hint="eastAsia"/>
          <w:color w:val="000000" w:themeColor="text1"/>
          <w:sz w:val="24"/>
        </w:rPr>
        <w:t>与报告</w:t>
      </w:r>
      <w:r>
        <w:rPr>
          <w:rFonts w:ascii="宋体" w:hAnsi="宋体" w:cs="Arial"/>
          <w:color w:val="000000" w:themeColor="text1"/>
          <w:sz w:val="24"/>
        </w:rPr>
        <w:t>的编制</w:t>
      </w:r>
    </w:p>
    <w:p w14:paraId="2C7972A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基金管理人应当在每月结束后</w:t>
      </w:r>
      <w:r>
        <w:rPr>
          <w:rFonts w:ascii="宋体" w:hAnsi="宋体" w:cs="Arial"/>
          <w:color w:val="000000" w:themeColor="text1"/>
          <w:sz w:val="24"/>
        </w:rPr>
        <w:t>5个工作日内完成月度报表的编制；在每个季度结束之日起15个工作日内完成基金季度报告的编制；在上半年结束之日起2个月内完成基金中期报告的编制；在每年结束之日起3个月内完成基金年度报告的编制。基金年度报告的财务会计报告应当经过符合《中华人民共和国</w:t>
      </w:r>
      <w:hyperlink r:id="rId8" w:tgtFrame="_blank" w:history="1">
        <w:r>
          <w:rPr>
            <w:rFonts w:hint="eastAsia"/>
            <w:color w:val="000000" w:themeColor="text1"/>
            <w:sz w:val="24"/>
          </w:rPr>
          <w:t>证券法</w:t>
        </w:r>
      </w:hyperlink>
      <w:r>
        <w:rPr>
          <w:rFonts w:ascii="宋体" w:hAnsi="宋体" w:cs="Arial" w:hint="eastAsia"/>
          <w:color w:val="000000" w:themeColor="text1"/>
          <w:sz w:val="24"/>
        </w:rPr>
        <w:t>》规定的会计师事务所审计。《基金合同》生效不足两个月的，基金管理人可以不编制当期季度报告、中期报告或者年度报告。</w:t>
      </w:r>
    </w:p>
    <w:p w14:paraId="4A30CB62"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(2)报表</w:t>
      </w:r>
      <w:r>
        <w:rPr>
          <w:rFonts w:ascii="宋体" w:hAnsi="宋体" w:cs="Arial" w:hint="eastAsia"/>
          <w:color w:val="000000" w:themeColor="text1"/>
          <w:sz w:val="24"/>
        </w:rPr>
        <w:t>与报告</w:t>
      </w:r>
      <w:r>
        <w:rPr>
          <w:rFonts w:ascii="宋体" w:hAnsi="宋体" w:cs="Arial"/>
          <w:color w:val="000000" w:themeColor="text1"/>
          <w:sz w:val="24"/>
        </w:rPr>
        <w:t>的复核</w:t>
      </w:r>
    </w:p>
    <w:p w14:paraId="4CF75075"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管理人应及时完成报表与报告编制，将有关报表与报告提供基金托管人复核；基金托管人在复核过程中，发现双方的报表与报告存在不符时，基金管理人和基金托管人应共同查明原因，进行调整，调整以国家有关规定为准。</w:t>
      </w:r>
    </w:p>
    <w:p w14:paraId="46D67AE2"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管理人应留足充分的时间，便于基金托管人复核相关报表及报告。如果基金管理人与基金托管人不能于应当发布公告之日之前就相关报表与报告达成一致，基金管理人按照其编制的报表对外发布公告，基金托管人有权就相关情况报中国证监会备案。</w:t>
      </w:r>
    </w:p>
    <w:p w14:paraId="2D351CE6"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（九）基金管理人应在编制季度报告、中期报告或者年度报告之前及时向基金托管人提供基金业绩比较基准的基础数据和编制结果。</w:t>
      </w:r>
    </w:p>
    <w:p w14:paraId="69A27380" w14:textId="77777777" w:rsidR="00DF5F45" w:rsidRDefault="00DF5F45">
      <w:pPr>
        <w:pStyle w:val="a0"/>
        <w:adjustRightInd w:val="0"/>
        <w:snapToGrid w:val="0"/>
        <w:spacing w:line="360" w:lineRule="auto"/>
        <w:ind w:firstLineChars="0" w:firstLine="0"/>
        <w:rPr>
          <w:rFonts w:ascii="宋体" w:hAnsi="宋体" w:cs="Arial"/>
          <w:color w:val="000000" w:themeColor="text1"/>
          <w:sz w:val="24"/>
        </w:rPr>
      </w:pPr>
    </w:p>
    <w:p w14:paraId="1835EE70" w14:textId="77777777" w:rsidR="00DF5F45" w:rsidRDefault="00153BE1">
      <w:pPr>
        <w:pStyle w:val="2"/>
        <w:spacing w:line="360" w:lineRule="auto"/>
        <w:jc w:val="center"/>
        <w:rPr>
          <w:rFonts w:ascii="宋体" w:eastAsia="宋体" w:hAnsi="宋体"/>
          <w:color w:val="000000" w:themeColor="text1"/>
          <w:sz w:val="30"/>
        </w:rPr>
      </w:pPr>
      <w:bookmarkStart w:id="90" w:name="_Toc124325893"/>
      <w:r>
        <w:rPr>
          <w:rFonts w:ascii="宋体" w:eastAsia="宋体" w:hAnsi="宋体" w:hint="eastAsia"/>
          <w:color w:val="000000" w:themeColor="text1"/>
          <w:sz w:val="30"/>
        </w:rPr>
        <w:t>九、基金收益分配</w:t>
      </w:r>
      <w:bookmarkEnd w:id="90"/>
    </w:p>
    <w:p w14:paraId="6808F89B"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基金收益分配是指按规定将基金的可分配收益按基金份额进行比例分配。</w:t>
      </w:r>
    </w:p>
    <w:p w14:paraId="3B363BCF"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（一）基金收益分配的原则</w:t>
      </w:r>
    </w:p>
    <w:p w14:paraId="2AA14473" w14:textId="73F3FB59" w:rsidR="00DF5F45" w:rsidRDefault="00153BE1">
      <w:pPr>
        <w:spacing w:line="360" w:lineRule="auto"/>
        <w:ind w:firstLineChars="225" w:firstLine="540"/>
        <w:rPr>
          <w:bCs/>
          <w:color w:val="000000" w:themeColor="text1"/>
          <w:sz w:val="24"/>
        </w:rPr>
      </w:pPr>
      <w:r>
        <w:rPr>
          <w:bCs/>
          <w:color w:val="000000" w:themeColor="text1"/>
          <w:sz w:val="24"/>
        </w:rPr>
        <w:t>1</w:t>
      </w:r>
      <w:r>
        <w:rPr>
          <w:rFonts w:ascii="宋体" w:hAnsi="宋体" w:cs="Arial"/>
          <w:color w:val="000000" w:themeColor="text1"/>
          <w:sz w:val="24"/>
        </w:rPr>
        <w:t>.</w:t>
      </w:r>
      <w:r>
        <w:rPr>
          <w:rFonts w:hint="eastAsia"/>
          <w:bCs/>
          <w:color w:val="000000" w:themeColor="text1"/>
          <w:sz w:val="24"/>
        </w:rPr>
        <w:t>由于本基金费用不同，各类别基金份额对应的可供分配利润将有所不同；</w:t>
      </w:r>
    </w:p>
    <w:p w14:paraId="07CBB7DD" w14:textId="77777777" w:rsidR="00DF5F45" w:rsidRDefault="00153BE1">
      <w:pPr>
        <w:spacing w:line="360" w:lineRule="auto"/>
        <w:ind w:firstLineChars="225" w:firstLine="540"/>
        <w:rPr>
          <w:bCs/>
          <w:color w:val="000000" w:themeColor="text1"/>
          <w:sz w:val="24"/>
        </w:rPr>
      </w:pPr>
      <w:r>
        <w:rPr>
          <w:bCs/>
          <w:color w:val="000000" w:themeColor="text1"/>
          <w:sz w:val="24"/>
        </w:rPr>
        <w:t>2</w:t>
      </w:r>
      <w:r>
        <w:rPr>
          <w:rFonts w:ascii="宋体" w:hAnsi="宋体" w:cs="Arial"/>
          <w:color w:val="000000" w:themeColor="text1"/>
          <w:sz w:val="24"/>
        </w:rPr>
        <w:t>.</w:t>
      </w:r>
      <w:r>
        <w:rPr>
          <w:rFonts w:hint="eastAsia"/>
          <w:bCs/>
          <w:color w:val="000000" w:themeColor="text1"/>
          <w:sz w:val="24"/>
        </w:rPr>
        <w:t>在符合有关基金分红条件的前提下，基金管理人可以根据实际情况进行收益分配，具体分配方案以公告为准，若《基金合同》生效不满</w:t>
      </w:r>
      <w:r>
        <w:rPr>
          <w:bCs/>
          <w:color w:val="000000" w:themeColor="text1"/>
          <w:sz w:val="24"/>
        </w:rPr>
        <w:t>3</w:t>
      </w:r>
      <w:r>
        <w:rPr>
          <w:rFonts w:hint="eastAsia"/>
          <w:bCs/>
          <w:color w:val="000000" w:themeColor="text1"/>
          <w:sz w:val="24"/>
        </w:rPr>
        <w:t>个月可不进行收益分配；</w:t>
      </w:r>
    </w:p>
    <w:p w14:paraId="2D5942B9" w14:textId="77777777" w:rsidR="00DF5F45" w:rsidRDefault="00153BE1">
      <w:pPr>
        <w:spacing w:line="360" w:lineRule="auto"/>
        <w:ind w:firstLineChars="225" w:firstLine="540"/>
        <w:rPr>
          <w:bCs/>
          <w:color w:val="000000" w:themeColor="text1"/>
          <w:sz w:val="24"/>
        </w:rPr>
      </w:pPr>
      <w:r>
        <w:rPr>
          <w:bCs/>
          <w:color w:val="000000" w:themeColor="text1"/>
          <w:sz w:val="24"/>
        </w:rPr>
        <w:t>3</w:t>
      </w:r>
      <w:r>
        <w:rPr>
          <w:rFonts w:ascii="宋体" w:hAnsi="宋体" w:cs="Arial"/>
          <w:color w:val="000000" w:themeColor="text1"/>
          <w:sz w:val="24"/>
        </w:rPr>
        <w:t>.</w:t>
      </w:r>
      <w:r>
        <w:rPr>
          <w:rFonts w:hint="eastAsia"/>
          <w:bCs/>
          <w:color w:val="000000" w:themeColor="text1"/>
          <w:sz w:val="24"/>
        </w:rPr>
        <w:t>本基金收益分配方式分两种：现金分红与红利再投资，投资者可选择现金红利或将现金红利自动转为相应类别的基金份额进行再投资；各类别基金份额持</w:t>
      </w:r>
      <w:r>
        <w:rPr>
          <w:rFonts w:hint="eastAsia"/>
          <w:bCs/>
          <w:color w:val="000000" w:themeColor="text1"/>
          <w:sz w:val="24"/>
        </w:rPr>
        <w:lastRenderedPageBreak/>
        <w:t>有人可分别选择不同的分红方式，若投资者不选择，本基金默认的收益分配方式是现金分红；</w:t>
      </w:r>
    </w:p>
    <w:p w14:paraId="546177D7" w14:textId="77777777" w:rsidR="00DF5F45" w:rsidRDefault="00153BE1">
      <w:pPr>
        <w:spacing w:line="360" w:lineRule="auto"/>
        <w:ind w:firstLineChars="225" w:firstLine="540"/>
        <w:rPr>
          <w:bCs/>
          <w:color w:val="000000" w:themeColor="text1"/>
          <w:sz w:val="24"/>
        </w:rPr>
      </w:pPr>
      <w:r>
        <w:rPr>
          <w:bCs/>
          <w:color w:val="000000" w:themeColor="text1"/>
          <w:sz w:val="24"/>
        </w:rPr>
        <w:t>4</w:t>
      </w:r>
      <w:r>
        <w:rPr>
          <w:rFonts w:ascii="宋体" w:hAnsi="宋体" w:cs="Arial"/>
          <w:color w:val="000000" w:themeColor="text1"/>
          <w:sz w:val="24"/>
        </w:rPr>
        <w:t>.</w:t>
      </w:r>
      <w:r>
        <w:rPr>
          <w:rFonts w:hint="eastAsia"/>
          <w:bCs/>
          <w:color w:val="000000" w:themeColor="text1"/>
          <w:sz w:val="24"/>
        </w:rPr>
        <w:t>基金收益分配后各类别基金份额净值不能低于面值，即基金收益分配基准日的各类别基金份额净值减去每单位该类别基金份额收益分配金额后不能低于面值；</w:t>
      </w:r>
    </w:p>
    <w:p w14:paraId="3A3F5BA2" w14:textId="77777777" w:rsidR="00DF5F45" w:rsidRDefault="00153BE1">
      <w:pPr>
        <w:spacing w:line="360" w:lineRule="auto"/>
        <w:ind w:firstLineChars="225" w:firstLine="540"/>
        <w:rPr>
          <w:bCs/>
          <w:color w:val="000000" w:themeColor="text1"/>
          <w:sz w:val="24"/>
        </w:rPr>
      </w:pPr>
      <w:r>
        <w:rPr>
          <w:bCs/>
          <w:color w:val="000000" w:themeColor="text1"/>
          <w:sz w:val="24"/>
        </w:rPr>
        <w:t>5</w:t>
      </w:r>
      <w:r>
        <w:rPr>
          <w:rFonts w:ascii="宋体" w:hAnsi="宋体" w:cs="Arial"/>
          <w:color w:val="000000" w:themeColor="text1"/>
          <w:sz w:val="24"/>
        </w:rPr>
        <w:t>.</w:t>
      </w:r>
      <w:r>
        <w:rPr>
          <w:rFonts w:hint="eastAsia"/>
          <w:bCs/>
          <w:color w:val="000000" w:themeColor="text1"/>
          <w:sz w:val="24"/>
        </w:rPr>
        <w:t>除法律法规另有规定或基金合同另有约定外，同一类别的每一基金份额享有同等分配权；</w:t>
      </w:r>
    </w:p>
    <w:p w14:paraId="2BAB183D" w14:textId="77777777" w:rsidR="00DF5F45" w:rsidRDefault="00153BE1">
      <w:pPr>
        <w:spacing w:line="360" w:lineRule="auto"/>
        <w:ind w:firstLineChars="225" w:firstLine="540"/>
        <w:rPr>
          <w:bCs/>
          <w:color w:val="000000" w:themeColor="text1"/>
          <w:sz w:val="24"/>
        </w:rPr>
      </w:pPr>
      <w:r>
        <w:rPr>
          <w:bCs/>
          <w:color w:val="000000" w:themeColor="text1"/>
          <w:sz w:val="24"/>
        </w:rPr>
        <w:t>6</w:t>
      </w:r>
      <w:r>
        <w:rPr>
          <w:rFonts w:ascii="宋体" w:hAnsi="宋体" w:cs="Arial"/>
          <w:color w:val="000000" w:themeColor="text1"/>
          <w:sz w:val="24"/>
        </w:rPr>
        <w:t>.</w:t>
      </w:r>
      <w:r>
        <w:rPr>
          <w:rFonts w:hint="eastAsia"/>
          <w:bCs/>
          <w:color w:val="000000" w:themeColor="text1"/>
          <w:sz w:val="24"/>
        </w:rPr>
        <w:t>法律法规或监管机关另有规定的，从其规定。</w:t>
      </w:r>
    </w:p>
    <w:p w14:paraId="5DCDB373" w14:textId="77777777" w:rsidR="00DF5F45" w:rsidRDefault="00153BE1">
      <w:pPr>
        <w:spacing w:line="360" w:lineRule="auto"/>
        <w:ind w:firstLineChars="225" w:firstLine="540"/>
        <w:rPr>
          <w:bCs/>
          <w:color w:val="000000" w:themeColor="text1"/>
          <w:sz w:val="24"/>
        </w:rPr>
      </w:pPr>
      <w:r>
        <w:rPr>
          <w:rFonts w:hint="eastAsia"/>
          <w:bCs/>
          <w:color w:val="000000" w:themeColor="text1"/>
          <w:sz w:val="24"/>
        </w:rPr>
        <w:t>在符合法律法规规定及基金合同约定，并对基金份额持有人利益无实质不利影响的情况下，经与基金托管人协商一致并履行适当程序后，基金管理人可对基金收益分配原则和支付方式进行调整，并于调整实施日前在规定媒介公告。</w:t>
      </w:r>
    </w:p>
    <w:p w14:paraId="376A3412"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（二）基金收益分配的时间和程序</w:t>
      </w:r>
    </w:p>
    <w:p w14:paraId="005C6298"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本基金收益分配方案由基金管理人拟定，并由基金托管人复核，依照《信息披露办法》的有关规定在规定媒介公告。基金收益分配方案公告后</w:t>
      </w:r>
      <w:r>
        <w:rPr>
          <w:rFonts w:ascii="宋体" w:hAnsi="宋体" w:cs="Arial"/>
          <w:color w:val="000000" w:themeColor="text1"/>
          <w:sz w:val="24"/>
        </w:rPr>
        <w:t>(依据具体方案的规定)，基金管理人就支付的现金红利向基金托管人发送划款指令，基金托管人按照基金管理人的指令及时进行分红资金的划付。</w:t>
      </w:r>
    </w:p>
    <w:p w14:paraId="733F22B4"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58234A27"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（三）实施侧袋机制期间的收益分配</w:t>
      </w:r>
    </w:p>
    <w:p w14:paraId="5CE09EA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本基金实施侧袋机制的，侧袋账户不进行收益分配，详见招募说明书的规定。</w:t>
      </w:r>
    </w:p>
    <w:p w14:paraId="30331009" w14:textId="77777777" w:rsidR="00DF5F45" w:rsidRDefault="00153BE1">
      <w:pPr>
        <w:pStyle w:val="2"/>
        <w:spacing w:line="360" w:lineRule="auto"/>
        <w:jc w:val="center"/>
        <w:rPr>
          <w:rFonts w:ascii="宋体" w:eastAsia="宋体" w:hAnsi="宋体"/>
          <w:color w:val="000000" w:themeColor="text1"/>
          <w:sz w:val="30"/>
        </w:rPr>
      </w:pPr>
      <w:bookmarkStart w:id="91" w:name="_Toc124325894"/>
      <w:r>
        <w:rPr>
          <w:rFonts w:ascii="宋体" w:eastAsia="宋体" w:hAnsi="宋体" w:hint="eastAsia"/>
          <w:color w:val="000000" w:themeColor="text1"/>
          <w:sz w:val="30"/>
        </w:rPr>
        <w:t>十、基金信息披露</w:t>
      </w:r>
      <w:bookmarkEnd w:id="91"/>
    </w:p>
    <w:p w14:paraId="31FAF8EB"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（一）保密义务</w:t>
      </w:r>
    </w:p>
    <w:p w14:paraId="042C2C7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w:t>
      </w:r>
      <w:r>
        <w:rPr>
          <w:rFonts w:ascii="宋体" w:hAnsi="宋体" w:cs="Arial" w:hint="eastAsia"/>
          <w:color w:val="000000" w:themeColor="text1"/>
          <w:sz w:val="24"/>
        </w:rPr>
        <w:lastRenderedPageBreak/>
        <w:t>情况不应视为基金管理人或基金托管人违反保密义务：</w:t>
      </w:r>
    </w:p>
    <w:p w14:paraId="2DB168B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1.非因基金管理人和基金托管人的原因导致保密信息被披露、泄露或公开；</w:t>
      </w:r>
    </w:p>
    <w:p w14:paraId="0A0B8F93" w14:textId="71FE6C81"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2.基金管理人和基金托管人为遵守和服从法院判决或裁定、仲裁裁决或中国证监会等监管机构的命令、决定所做出的信息披露或公开</w:t>
      </w:r>
      <w:r>
        <w:rPr>
          <w:rFonts w:ascii="宋体" w:hAnsi="宋体" w:cs="Arial" w:hint="eastAsia"/>
          <w:color w:val="000000" w:themeColor="text1"/>
          <w:sz w:val="24"/>
        </w:rPr>
        <w:t>；</w:t>
      </w:r>
    </w:p>
    <w:p w14:paraId="788FB25F" w14:textId="77777777" w:rsidR="00DF5F45" w:rsidRDefault="00153BE1">
      <w:pPr>
        <w:adjustRightInd w:val="0"/>
        <w:snapToGrid w:val="0"/>
        <w:spacing w:line="360" w:lineRule="auto"/>
        <w:ind w:firstLineChars="200" w:firstLine="480"/>
        <w:rPr>
          <w:rFonts w:ascii="宋体" w:hAnsi="宋体"/>
          <w:color w:val="000000" w:themeColor="text1"/>
          <w:sz w:val="24"/>
        </w:rPr>
      </w:pPr>
      <w:r>
        <w:rPr>
          <w:rFonts w:ascii="宋体" w:hAnsi="宋体" w:cs="Arial"/>
          <w:color w:val="000000" w:themeColor="text1"/>
          <w:sz w:val="24"/>
        </w:rPr>
        <w:t>3.</w:t>
      </w:r>
      <w:r>
        <w:rPr>
          <w:rFonts w:ascii="宋体" w:hAnsi="宋体" w:cs="Arial" w:hint="eastAsia"/>
          <w:color w:val="000000" w:themeColor="text1"/>
          <w:sz w:val="24"/>
        </w:rPr>
        <w:t>基金管理人和基金托管人在要求保密的前提下对自身聘请的外部法律顾问、财务顾问、审计人员、技术顾问等做出的必要信息披露。</w:t>
      </w:r>
    </w:p>
    <w:p w14:paraId="3BBADAA7"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（二）信息披露的内容</w:t>
      </w:r>
    </w:p>
    <w:p w14:paraId="0A630121"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的信息披露内容主要包括基金招募说明书、《基金合同》、基金托管协议、基金产品资料概要、基金份额发售公告、《基金合同》生效公告、基金净值信息、基金份额申购、赎回价格、基金定期报告（包括基金年度报告、基金中期报告和基金季度报告（含资产组合季度报告））、临时报告、澄清公告、基金份额持有人大会决议、</w:t>
      </w:r>
      <w:r>
        <w:rPr>
          <w:rFonts w:hint="eastAsia"/>
          <w:bCs/>
          <w:color w:val="000000" w:themeColor="text1"/>
          <w:sz w:val="24"/>
        </w:rPr>
        <w:t>发起资金认购份额报告、</w:t>
      </w:r>
      <w:r>
        <w:rPr>
          <w:rFonts w:ascii="宋体" w:hAnsi="宋体" w:cs="Arial" w:hint="eastAsia"/>
          <w:color w:val="000000" w:themeColor="text1"/>
          <w:sz w:val="24"/>
        </w:rPr>
        <w:t>清算报告、股指期货交易的信息披露、国债期货交易的信息披露、股票期权投资的信息披露、投资资产支持证券的信息披露、</w:t>
      </w:r>
      <w:r>
        <w:rPr>
          <w:rFonts w:hint="eastAsia"/>
          <w:bCs/>
          <w:color w:val="000000" w:themeColor="text1"/>
          <w:sz w:val="24"/>
        </w:rPr>
        <w:t>投资非公开发行股票的信息披露、投资港股通标的股票的信息披露、</w:t>
      </w:r>
      <w:r>
        <w:rPr>
          <w:rFonts w:ascii="宋体" w:hAnsi="宋体" w:cs="Arial" w:hint="eastAsia"/>
          <w:color w:val="000000" w:themeColor="text1"/>
          <w:sz w:val="24"/>
        </w:rPr>
        <w:t>参与融资业务的信息披露、投资存托凭证的信息披露、实施侧袋机制期间的信息披露及中国证监会规定的其他信息。基金年度报告中的财务会计报告需经符合《中华人民共和国证券法》规定的会计师事务所审计后，方可披露。</w:t>
      </w:r>
    </w:p>
    <w:p w14:paraId="132EF4E8"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（三）基金托管人和基金管理人在信息披露中的职责和信息披露程序</w:t>
      </w:r>
    </w:p>
    <w:p w14:paraId="0B76185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1.职责</w:t>
      </w:r>
    </w:p>
    <w:p w14:paraId="4C8F791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基金管理人在信息披露时，应说明基金托管人所复核的数据和信息。对于基金托管人复核结果与</w:t>
      </w:r>
      <w:r>
        <w:rPr>
          <w:rFonts w:hint="eastAsia"/>
          <w:bCs/>
          <w:color w:val="000000" w:themeColor="text1"/>
          <w:sz w:val="24"/>
        </w:rPr>
        <w:t>基金</w:t>
      </w:r>
      <w:r>
        <w:rPr>
          <w:rFonts w:ascii="宋体" w:hAnsi="宋体" w:cs="Arial" w:hint="eastAsia"/>
          <w:color w:val="000000" w:themeColor="text1"/>
          <w:sz w:val="24"/>
        </w:rPr>
        <w:t>管理人无法达成一致的，基金管理人应按照有关法律法规进行信息披露。</w:t>
      </w:r>
    </w:p>
    <w:p w14:paraId="37258B3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对于不需要基金托管人复核的信息，基金管理人在公告前应告知基金托管人。</w:t>
      </w:r>
    </w:p>
    <w:p w14:paraId="365AED1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基金管理人和基金托管人应积极配合、互相监督，保证其履行按照法定方式和时限披露的义务。</w:t>
      </w:r>
    </w:p>
    <w:p w14:paraId="5945531B" w14:textId="489595B6"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基金管理人应当在中国证监会规定的时间内，将应予披露的基金信息通过规</w:t>
      </w:r>
      <w:r>
        <w:rPr>
          <w:rFonts w:ascii="宋体" w:hAnsi="宋体" w:cs="Arial" w:hint="eastAsia"/>
          <w:color w:val="000000" w:themeColor="text1"/>
          <w:sz w:val="24"/>
        </w:rPr>
        <w:lastRenderedPageBreak/>
        <w:t>定媒介披露。根据法律法规应由基金托管人公开披露的信息，基金托管人将通过规定媒介公开披露。</w:t>
      </w:r>
    </w:p>
    <w:p w14:paraId="539219E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当出现下述情况时，基金管理人和基金托管人可暂停或延迟披露基金相关信息：</w:t>
      </w:r>
    </w:p>
    <w:p w14:paraId="26F8D716"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(1)不可抗力；</w:t>
      </w:r>
    </w:p>
    <w:p w14:paraId="33603FDC"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w:t>
      </w:r>
      <w:r>
        <w:rPr>
          <w:rFonts w:hint="eastAsia"/>
          <w:bCs/>
          <w:color w:val="000000" w:themeColor="text1"/>
          <w:sz w:val="24"/>
        </w:rPr>
        <w:t>基金投资所涉及的证券</w:t>
      </w:r>
      <w:r>
        <w:rPr>
          <w:bCs/>
          <w:color w:val="000000" w:themeColor="text1"/>
          <w:sz w:val="24"/>
        </w:rPr>
        <w:t>/</w:t>
      </w:r>
      <w:r>
        <w:rPr>
          <w:rFonts w:hint="eastAsia"/>
          <w:bCs/>
          <w:color w:val="000000" w:themeColor="text1"/>
          <w:sz w:val="24"/>
        </w:rPr>
        <w:t>期货交易所或外汇市场遇法定节假日或基金参与港股通交易且港股通临时停市或因其他原因暂停营业时</w:t>
      </w:r>
      <w:r>
        <w:rPr>
          <w:rFonts w:ascii="宋体" w:hAnsi="宋体" w:cs="Arial" w:hint="eastAsia"/>
          <w:color w:val="000000" w:themeColor="text1"/>
          <w:sz w:val="24"/>
        </w:rPr>
        <w:t>；</w:t>
      </w:r>
    </w:p>
    <w:p w14:paraId="0E7E9EBC"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(3)</w:t>
      </w:r>
      <w:r>
        <w:rPr>
          <w:rFonts w:hint="eastAsia"/>
          <w:bCs/>
          <w:color w:val="000000" w:themeColor="text1"/>
          <w:sz w:val="24"/>
        </w:rPr>
        <w:t>出现《基金合同》约定的暂停估值的情形</w:t>
      </w:r>
      <w:r>
        <w:rPr>
          <w:rFonts w:ascii="宋体" w:hAnsi="宋体" w:cs="Arial" w:hint="eastAsia"/>
          <w:color w:val="000000" w:themeColor="text1"/>
          <w:sz w:val="24"/>
        </w:rPr>
        <w:t>；</w:t>
      </w:r>
    </w:p>
    <w:p w14:paraId="2A9C548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(4)法律法规规定、中国证监会或基金合同认定的其他情形。</w:t>
      </w:r>
    </w:p>
    <w:p w14:paraId="4A63D52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2.程序</w:t>
      </w:r>
    </w:p>
    <w:p w14:paraId="72F3FFC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按有关规定须经基金托管人复核的信息披露文件，由基金管理人起草、并经基金托管人复核后由基金管理人公告。发生《基金合同》中规定需要披露的事项时，按《基金合同》规定公布。</w:t>
      </w:r>
    </w:p>
    <w:p w14:paraId="15A9006A"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3.信息文本的存放</w:t>
      </w:r>
    </w:p>
    <w:p w14:paraId="0F81AB1E"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依法必须披露的信息发布后，基金管理人、基金托管人应当按照相关法律法规规定将信息置备于其住所，供社会公众查阅、复制。在支付工本费后可在合理时间获得上述文件的复制件或复印件。基金管理人和基金托管人应保证文本的内容与所公告的内容完全一致。</w:t>
      </w:r>
    </w:p>
    <w:p w14:paraId="7C8E51BF"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（四）实施侧袋机制期间的信息披露</w:t>
      </w:r>
    </w:p>
    <w:p w14:paraId="7AE300E6" w14:textId="77777777" w:rsidR="00DF5F45" w:rsidRDefault="00153BE1">
      <w:pPr>
        <w:pStyle w:val="a0"/>
        <w:spacing w:line="360" w:lineRule="auto"/>
        <w:ind w:firstLine="480"/>
        <w:rPr>
          <w:rFonts w:ascii="宋体" w:hAnsi="宋体" w:cs="Arial"/>
          <w:color w:val="000000" w:themeColor="text1"/>
          <w:sz w:val="24"/>
        </w:rPr>
      </w:pPr>
      <w:r>
        <w:rPr>
          <w:rFonts w:ascii="宋体" w:hAnsi="宋体" w:cs="Arial" w:hint="eastAsia"/>
          <w:color w:val="000000" w:themeColor="text1"/>
          <w:sz w:val="24"/>
        </w:rPr>
        <w:t>本基金实施侧袋机制的，相关信息披露义务人应当根据法律法规、基金合同和招募说明书的规定进行信息披露，详见招募说明书的规定。</w:t>
      </w:r>
    </w:p>
    <w:p w14:paraId="71A662C6" w14:textId="77777777" w:rsidR="00DF5F45" w:rsidRDefault="00153BE1">
      <w:pPr>
        <w:pStyle w:val="a0"/>
        <w:spacing w:line="360" w:lineRule="auto"/>
        <w:ind w:firstLine="480"/>
        <w:rPr>
          <w:rFonts w:ascii="宋体" w:hAnsi="宋体" w:cs="Arial"/>
          <w:color w:val="000000" w:themeColor="text1"/>
          <w:sz w:val="24"/>
        </w:rPr>
      </w:pPr>
      <w:r>
        <w:rPr>
          <w:rFonts w:ascii="宋体" w:hAnsi="宋体" w:cs="Arial" w:hint="eastAsia"/>
          <w:color w:val="000000" w:themeColor="text1"/>
          <w:sz w:val="24"/>
        </w:rPr>
        <w:t>（五）法律法规或监管部门对适用于本基金的信息披露另有规定的，从其规定。如规定发生变化的，从其最新规定。</w:t>
      </w:r>
    </w:p>
    <w:p w14:paraId="17284370" w14:textId="77777777" w:rsidR="00DF5F45" w:rsidRDefault="00DF5F45">
      <w:pPr>
        <w:pStyle w:val="a0"/>
        <w:spacing w:line="360" w:lineRule="auto"/>
        <w:ind w:firstLineChars="0" w:firstLine="0"/>
        <w:rPr>
          <w:rFonts w:ascii="宋体" w:hAnsi="宋体" w:cs="Arial"/>
          <w:color w:val="000000" w:themeColor="text1"/>
          <w:sz w:val="24"/>
        </w:rPr>
      </w:pPr>
    </w:p>
    <w:p w14:paraId="7EAFDCC0" w14:textId="77777777" w:rsidR="00DF5F45" w:rsidRDefault="00153BE1">
      <w:pPr>
        <w:pStyle w:val="2"/>
        <w:spacing w:line="360" w:lineRule="auto"/>
        <w:jc w:val="center"/>
        <w:rPr>
          <w:rFonts w:ascii="宋体" w:eastAsia="宋体" w:hAnsi="宋体"/>
          <w:color w:val="000000" w:themeColor="text1"/>
          <w:sz w:val="30"/>
        </w:rPr>
      </w:pPr>
      <w:bookmarkStart w:id="92" w:name="_Toc124325895"/>
      <w:r>
        <w:rPr>
          <w:rFonts w:ascii="宋体" w:eastAsia="宋体" w:hAnsi="宋体" w:hint="eastAsia"/>
          <w:color w:val="000000" w:themeColor="text1"/>
          <w:sz w:val="30"/>
        </w:rPr>
        <w:t>十一、基金费用</w:t>
      </w:r>
      <w:bookmarkEnd w:id="92"/>
    </w:p>
    <w:p w14:paraId="3BB4B36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（一）基金管理费的计提比例和计提方法</w:t>
      </w:r>
    </w:p>
    <w:p w14:paraId="1E524D02"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本基金的管理费按前一日基金资产净值的</w:t>
      </w:r>
      <w:r>
        <w:rPr>
          <w:rFonts w:ascii="宋体" w:hAnsi="宋体" w:cs="Arial"/>
          <w:color w:val="000000" w:themeColor="text1"/>
          <w:sz w:val="24"/>
        </w:rPr>
        <w:t>1.2%年费率计提。管理费的计算方法如下：</w:t>
      </w:r>
    </w:p>
    <w:p w14:paraId="5661051D"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lastRenderedPageBreak/>
        <w:t>H＝E×1.2%</w:t>
      </w:r>
      <w:r>
        <w:rPr>
          <w:rFonts w:ascii="宋体" w:hAnsi="宋体" w:cs="Arial" w:hint="eastAsia"/>
          <w:color w:val="000000" w:themeColor="text1"/>
          <w:sz w:val="24"/>
        </w:rPr>
        <w:t>÷当年天数</w:t>
      </w:r>
    </w:p>
    <w:p w14:paraId="630E1CFF"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H为每日应计提的基金管理费</w:t>
      </w:r>
    </w:p>
    <w:p w14:paraId="2F7B5F52"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E为前一日的基金资产净值</w:t>
      </w:r>
    </w:p>
    <w:p w14:paraId="2B0489D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（二）基金托管费的计提比例和计提方法</w:t>
      </w:r>
    </w:p>
    <w:p w14:paraId="682971D2"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本基金的托管费按前一日基金资产净值的</w:t>
      </w:r>
      <w:r>
        <w:rPr>
          <w:rFonts w:ascii="宋体" w:hAnsi="宋体" w:cs="Arial"/>
          <w:color w:val="000000" w:themeColor="text1"/>
          <w:sz w:val="24"/>
        </w:rPr>
        <w:t>0.2%年费率计提。托管费的计算方法如下：</w:t>
      </w:r>
    </w:p>
    <w:p w14:paraId="19006846"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H＝E×0.2%</w:t>
      </w:r>
      <w:r>
        <w:rPr>
          <w:rFonts w:ascii="宋体" w:hAnsi="宋体" w:cs="Arial" w:hint="eastAsia"/>
          <w:color w:val="000000" w:themeColor="text1"/>
          <w:sz w:val="24"/>
        </w:rPr>
        <w:t>÷当年天数</w:t>
      </w:r>
    </w:p>
    <w:p w14:paraId="3FACF6E2"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H为每日应计提的基金托管费</w:t>
      </w:r>
    </w:p>
    <w:p w14:paraId="69881171"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E为前一日的基金资产净值</w:t>
      </w:r>
    </w:p>
    <w:p w14:paraId="241217FC"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（三）</w:t>
      </w:r>
      <w:r>
        <w:rPr>
          <w:rFonts w:ascii="宋体" w:hAnsi="宋体" w:cs="Arial"/>
          <w:color w:val="000000" w:themeColor="text1"/>
          <w:sz w:val="24"/>
        </w:rPr>
        <w:t>C类基金份额的销售服务费</w:t>
      </w:r>
    </w:p>
    <w:p w14:paraId="7DA157A5" w14:textId="77777777" w:rsidR="00DF5F45" w:rsidRDefault="00153BE1">
      <w:pPr>
        <w:adjustRightInd w:val="0"/>
        <w:snapToGrid w:val="0"/>
        <w:spacing w:line="360" w:lineRule="auto"/>
        <w:ind w:firstLineChars="200" w:firstLine="480"/>
        <w:rPr>
          <w:rFonts w:ascii="宋体" w:hAnsi="宋体" w:cs="Arial"/>
          <w:bCs/>
          <w:color w:val="000000" w:themeColor="text1"/>
          <w:sz w:val="24"/>
        </w:rPr>
      </w:pPr>
      <w:r>
        <w:rPr>
          <w:rFonts w:ascii="宋体" w:hAnsi="宋体" w:cs="Arial" w:hint="eastAsia"/>
          <w:bCs/>
          <w:color w:val="000000" w:themeColor="text1"/>
          <w:sz w:val="24"/>
        </w:rPr>
        <w:t>本基金不同基金份额适用不同的销售服务费率。其中，</w:t>
      </w:r>
      <w:r>
        <w:rPr>
          <w:rFonts w:ascii="宋体" w:hAnsi="宋体" w:cs="Arial"/>
          <w:bCs/>
          <w:color w:val="000000" w:themeColor="text1"/>
          <w:sz w:val="24"/>
        </w:rPr>
        <w:t>A类基金份额不收取销售服务费；C类基金份额销售服务费按前一日C类基金份额的基金资产净值的0.4</w:t>
      </w:r>
      <w:r>
        <w:rPr>
          <w:rFonts w:ascii="宋体" w:hAnsi="宋体" w:cs="Arial" w:hint="eastAsia"/>
          <w:bCs/>
          <w:color w:val="000000" w:themeColor="text1"/>
          <w:sz w:val="24"/>
        </w:rPr>
        <w:t>0</w:t>
      </w:r>
      <w:r>
        <w:rPr>
          <w:rFonts w:ascii="宋体" w:hAnsi="宋体" w:cs="Arial"/>
          <w:bCs/>
          <w:color w:val="000000" w:themeColor="text1"/>
          <w:sz w:val="24"/>
        </w:rPr>
        <w:t>%</w:t>
      </w:r>
      <w:r>
        <w:rPr>
          <w:rFonts w:ascii="宋体" w:hAnsi="宋体" w:cs="Arial" w:hint="eastAsia"/>
          <w:bCs/>
          <w:color w:val="000000" w:themeColor="text1"/>
          <w:sz w:val="24"/>
        </w:rPr>
        <w:t>年费率计提。计算方法如下：</w:t>
      </w:r>
    </w:p>
    <w:p w14:paraId="31AC4CAE" w14:textId="77777777" w:rsidR="00DF5F45" w:rsidRDefault="00153BE1">
      <w:pPr>
        <w:adjustRightInd w:val="0"/>
        <w:snapToGrid w:val="0"/>
        <w:spacing w:line="360" w:lineRule="auto"/>
        <w:ind w:firstLineChars="200" w:firstLine="480"/>
        <w:rPr>
          <w:rFonts w:ascii="宋体" w:hAnsi="宋体" w:cs="Arial"/>
          <w:bCs/>
          <w:color w:val="000000" w:themeColor="text1"/>
          <w:sz w:val="24"/>
        </w:rPr>
      </w:pPr>
      <w:r>
        <w:rPr>
          <w:rFonts w:ascii="宋体" w:hAnsi="宋体" w:cs="Arial"/>
          <w:bCs/>
          <w:color w:val="000000" w:themeColor="text1"/>
          <w:sz w:val="24"/>
        </w:rPr>
        <w:t>H＝E×0.4</w:t>
      </w:r>
      <w:r>
        <w:rPr>
          <w:rFonts w:ascii="宋体" w:hAnsi="宋体" w:cs="Arial" w:hint="eastAsia"/>
          <w:bCs/>
          <w:color w:val="000000" w:themeColor="text1"/>
          <w:sz w:val="24"/>
        </w:rPr>
        <w:t>0</w:t>
      </w:r>
      <w:r>
        <w:rPr>
          <w:rFonts w:ascii="宋体" w:hAnsi="宋体" w:cs="Arial"/>
          <w:bCs/>
          <w:color w:val="000000" w:themeColor="text1"/>
          <w:sz w:val="24"/>
        </w:rPr>
        <w:t>%÷当年天数</w:t>
      </w:r>
    </w:p>
    <w:p w14:paraId="3A066CE1" w14:textId="77777777" w:rsidR="00DF5F45" w:rsidRDefault="00153BE1">
      <w:pPr>
        <w:adjustRightInd w:val="0"/>
        <w:snapToGrid w:val="0"/>
        <w:spacing w:line="360" w:lineRule="auto"/>
        <w:ind w:firstLineChars="200" w:firstLine="480"/>
        <w:rPr>
          <w:rFonts w:ascii="宋体" w:hAnsi="宋体" w:cs="Arial"/>
          <w:bCs/>
          <w:color w:val="000000" w:themeColor="text1"/>
          <w:sz w:val="24"/>
        </w:rPr>
      </w:pPr>
      <w:r>
        <w:rPr>
          <w:rFonts w:ascii="宋体" w:hAnsi="宋体" w:cs="Arial"/>
          <w:bCs/>
          <w:color w:val="000000" w:themeColor="text1"/>
          <w:sz w:val="24"/>
        </w:rPr>
        <w:t>H为C类基金份额每日应计提的销售服务费</w:t>
      </w:r>
    </w:p>
    <w:p w14:paraId="238BBA06" w14:textId="77777777" w:rsidR="00DF5F45" w:rsidRDefault="00153BE1">
      <w:pPr>
        <w:adjustRightInd w:val="0"/>
        <w:snapToGrid w:val="0"/>
        <w:spacing w:line="360" w:lineRule="auto"/>
        <w:ind w:firstLineChars="200" w:firstLine="480"/>
        <w:rPr>
          <w:rFonts w:ascii="宋体" w:hAnsi="宋体" w:cs="Arial"/>
          <w:bCs/>
          <w:color w:val="000000" w:themeColor="text1"/>
          <w:sz w:val="24"/>
        </w:rPr>
      </w:pPr>
      <w:r>
        <w:rPr>
          <w:rFonts w:ascii="宋体" w:hAnsi="宋体" w:cs="Arial"/>
          <w:bCs/>
          <w:color w:val="000000" w:themeColor="text1"/>
          <w:sz w:val="24"/>
        </w:rPr>
        <w:t>E为C类基金份额前一日的基金资产净值</w:t>
      </w:r>
    </w:p>
    <w:p w14:paraId="426C3A31" w14:textId="77777777" w:rsidR="00DF5F45" w:rsidRDefault="00153BE1">
      <w:pPr>
        <w:adjustRightInd w:val="0"/>
        <w:snapToGrid w:val="0"/>
        <w:spacing w:line="360" w:lineRule="auto"/>
        <w:ind w:firstLineChars="200" w:firstLine="480"/>
        <w:rPr>
          <w:rFonts w:ascii="宋体" w:hAnsi="宋体" w:cs="Arial"/>
          <w:bCs/>
          <w:color w:val="000000" w:themeColor="text1"/>
          <w:sz w:val="24"/>
        </w:rPr>
      </w:pPr>
      <w:r>
        <w:rPr>
          <w:rFonts w:ascii="宋体" w:hAnsi="宋体" w:cs="Arial"/>
          <w:bCs/>
          <w:color w:val="000000" w:themeColor="text1"/>
          <w:sz w:val="24"/>
        </w:rPr>
        <w:t>C类基金份额销售服务费每日计提。</w:t>
      </w:r>
    </w:p>
    <w:p w14:paraId="4D01449D" w14:textId="77777777" w:rsidR="00DF5F45" w:rsidRDefault="00153BE1">
      <w:pPr>
        <w:adjustRightInd w:val="0"/>
        <w:snapToGrid w:val="0"/>
        <w:spacing w:line="360" w:lineRule="auto"/>
        <w:ind w:firstLineChars="200" w:firstLine="480"/>
        <w:rPr>
          <w:rFonts w:ascii="宋体" w:hAnsi="宋体" w:cs="Arial"/>
          <w:bCs/>
          <w:color w:val="000000" w:themeColor="text1"/>
          <w:sz w:val="24"/>
        </w:rPr>
      </w:pPr>
      <w:r>
        <w:rPr>
          <w:rFonts w:ascii="宋体" w:hAnsi="宋体" w:cs="Arial"/>
          <w:bCs/>
          <w:color w:val="000000" w:themeColor="text1"/>
          <w:sz w:val="24"/>
        </w:rPr>
        <w:t>1.基金管理人直销渠道：</w:t>
      </w:r>
    </w:p>
    <w:p w14:paraId="44B21A92" w14:textId="77777777" w:rsidR="00DF5F45" w:rsidRDefault="00153BE1">
      <w:pPr>
        <w:adjustRightInd w:val="0"/>
        <w:snapToGrid w:val="0"/>
        <w:spacing w:line="360" w:lineRule="auto"/>
        <w:ind w:firstLineChars="200" w:firstLine="480"/>
        <w:rPr>
          <w:rFonts w:ascii="宋体" w:hAnsi="宋体" w:cs="Arial"/>
          <w:bCs/>
          <w:color w:val="000000" w:themeColor="text1"/>
          <w:sz w:val="24"/>
        </w:rPr>
      </w:pPr>
      <w:r>
        <w:rPr>
          <w:rFonts w:ascii="宋体" w:hAnsi="宋体" w:cs="Arial" w:hint="eastAsia"/>
          <w:bCs/>
          <w:color w:val="000000" w:themeColor="text1"/>
          <w:sz w:val="24"/>
        </w:rPr>
        <w:t>对于</w:t>
      </w:r>
      <w:r>
        <w:rPr>
          <w:rFonts w:ascii="宋体" w:hAnsi="宋体" w:cs="Arial"/>
          <w:bCs/>
          <w:color w:val="000000" w:themeColor="text1"/>
          <w:sz w:val="24"/>
        </w:rPr>
        <w:t>C类基金份额收取的销售服务费，在投资者赎回基金份额或基金合同终止时，随赎回款（或清算款）一并返还给投资者。若遇法定节假日、公休</w:t>
      </w:r>
      <w:r>
        <w:rPr>
          <w:rFonts w:ascii="宋体" w:hAnsi="宋体" w:cs="Arial" w:hint="eastAsia"/>
          <w:bCs/>
          <w:color w:val="000000" w:themeColor="text1"/>
          <w:sz w:val="24"/>
        </w:rPr>
        <w:t>假或不可抗力等，支付日期顺延。</w:t>
      </w:r>
    </w:p>
    <w:p w14:paraId="7FB21D37" w14:textId="77777777" w:rsidR="00DF5F45" w:rsidRDefault="00153BE1">
      <w:pPr>
        <w:adjustRightInd w:val="0"/>
        <w:snapToGrid w:val="0"/>
        <w:spacing w:line="360" w:lineRule="auto"/>
        <w:ind w:firstLineChars="200" w:firstLine="480"/>
        <w:rPr>
          <w:rFonts w:ascii="宋体" w:hAnsi="宋体" w:cs="Arial"/>
          <w:bCs/>
          <w:color w:val="000000" w:themeColor="text1"/>
          <w:sz w:val="24"/>
        </w:rPr>
      </w:pPr>
      <w:r>
        <w:rPr>
          <w:rFonts w:ascii="宋体" w:hAnsi="宋体" w:cs="Arial" w:hint="eastAsia"/>
          <w:bCs/>
          <w:color w:val="000000" w:themeColor="text1"/>
          <w:sz w:val="24"/>
        </w:rPr>
        <w:t>基金销售子公司销售母公司所管理基金的，按照本条要求执行。</w:t>
      </w:r>
    </w:p>
    <w:p w14:paraId="6F17C070" w14:textId="77777777" w:rsidR="00DF5F45" w:rsidRDefault="00153BE1">
      <w:pPr>
        <w:adjustRightInd w:val="0"/>
        <w:snapToGrid w:val="0"/>
        <w:spacing w:line="360" w:lineRule="auto"/>
        <w:ind w:firstLineChars="200" w:firstLine="480"/>
        <w:rPr>
          <w:rFonts w:ascii="宋体" w:hAnsi="宋体" w:cs="Arial"/>
          <w:bCs/>
          <w:color w:val="000000" w:themeColor="text1"/>
          <w:sz w:val="24"/>
        </w:rPr>
      </w:pPr>
      <w:r>
        <w:rPr>
          <w:rFonts w:ascii="宋体" w:hAnsi="宋体" w:cs="Arial"/>
          <w:bCs/>
          <w:color w:val="000000" w:themeColor="text1"/>
          <w:sz w:val="24"/>
        </w:rPr>
        <w:t>2.代销机构：</w:t>
      </w:r>
    </w:p>
    <w:p w14:paraId="239677A1" w14:textId="77777777" w:rsidR="00DF5F45" w:rsidRDefault="00153BE1">
      <w:pPr>
        <w:adjustRightInd w:val="0"/>
        <w:snapToGrid w:val="0"/>
        <w:spacing w:line="360" w:lineRule="auto"/>
        <w:ind w:firstLineChars="200" w:firstLine="480"/>
        <w:rPr>
          <w:rFonts w:ascii="宋体" w:hAnsi="宋体" w:cs="Arial"/>
          <w:bCs/>
          <w:color w:val="000000" w:themeColor="text1"/>
          <w:sz w:val="24"/>
        </w:rPr>
      </w:pPr>
      <w:r>
        <w:rPr>
          <w:rFonts w:ascii="宋体" w:hAnsi="宋体" w:cs="Arial" w:hint="eastAsia"/>
          <w:bCs/>
          <w:color w:val="000000" w:themeColor="text1"/>
          <w:sz w:val="24"/>
        </w:rPr>
        <w:t>对于投资者持续持有期限未超过一年（即</w:t>
      </w:r>
      <w:r>
        <w:rPr>
          <w:rFonts w:ascii="宋体" w:hAnsi="宋体" w:cs="Arial"/>
          <w:bCs/>
          <w:color w:val="000000" w:themeColor="text1"/>
          <w:sz w:val="24"/>
        </w:rPr>
        <w:t>365天，下同）的C类基金份额收取的销售服务费，逐日累计至每月月末，按月支付，</w:t>
      </w:r>
      <w:r>
        <w:rPr>
          <w:rFonts w:ascii="宋体" w:hAnsi="宋体" w:cs="Arial" w:hint="eastAsia"/>
          <w:bCs/>
          <w:color w:val="000000" w:themeColor="text1"/>
          <w:sz w:val="24"/>
        </w:rPr>
        <w:t>自动在月初</w:t>
      </w:r>
      <w:r>
        <w:rPr>
          <w:rFonts w:ascii="宋体" w:hAnsi="宋体" w:cs="Arial"/>
          <w:bCs/>
          <w:color w:val="000000" w:themeColor="text1"/>
          <w:sz w:val="24"/>
        </w:rPr>
        <w:t>5个工作日内、按照规定的账户路径进行资金支付，基金管理人无需再出具资金划拨指令。若遇法定节假日、公休</w:t>
      </w:r>
      <w:r>
        <w:rPr>
          <w:rFonts w:ascii="宋体" w:hAnsi="宋体" w:cs="Arial" w:hint="eastAsia"/>
          <w:bCs/>
          <w:color w:val="000000" w:themeColor="text1"/>
          <w:sz w:val="24"/>
        </w:rPr>
        <w:t>假或不可抗力等，支付日期顺延。费用自动扣划后，基金管理人应进行核对，如发现数据不符，及时联系基金托管人协商解决。</w:t>
      </w:r>
    </w:p>
    <w:p w14:paraId="234B92BC" w14:textId="77777777" w:rsidR="00DF5F45" w:rsidRDefault="00153BE1">
      <w:pPr>
        <w:adjustRightInd w:val="0"/>
        <w:snapToGrid w:val="0"/>
        <w:spacing w:line="360" w:lineRule="auto"/>
        <w:ind w:firstLineChars="200" w:firstLine="480"/>
        <w:rPr>
          <w:rFonts w:ascii="宋体" w:hAnsi="宋体" w:cs="Arial"/>
          <w:bCs/>
          <w:color w:val="000000" w:themeColor="text1"/>
          <w:sz w:val="24"/>
        </w:rPr>
      </w:pPr>
      <w:r>
        <w:rPr>
          <w:rFonts w:ascii="宋体" w:hAnsi="宋体" w:cs="Arial" w:hint="eastAsia"/>
          <w:bCs/>
          <w:color w:val="000000" w:themeColor="text1"/>
          <w:sz w:val="24"/>
        </w:rPr>
        <w:t>对于持续持有期限超过一年的基金份额继续收取的销售服务费，在投资者赎回基金份额或基金合同终止时，随赎回款（或清算款）一并返还给投资者。</w:t>
      </w:r>
    </w:p>
    <w:p w14:paraId="4D23EAEE" w14:textId="2D9D42E8"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lastRenderedPageBreak/>
        <w:t>因涉及相关数据，应付销售服务费的计算和复核工作由基金管理人完成，相关信息以登记机构计算结果为准，基金托管人不承担复核责任。</w:t>
      </w:r>
    </w:p>
    <w:p w14:paraId="2548F384"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四）基金的证券、期货交易费用或结算而产生的费用、基金的银行汇划费用、账户开户费用和账户维护费、《基金合同》生效后与基金相关的信息披露费用（除法律法规、中国证监会另有规定外）、基金份额持有人大会费用、《基金合同》生效后与基金相关的会计师费、律师费、审计费、仲裁费</w:t>
      </w:r>
      <w:r>
        <w:rPr>
          <w:rFonts w:ascii="宋体" w:hAnsi="宋体" w:cs="Arial"/>
          <w:color w:val="000000" w:themeColor="text1"/>
          <w:sz w:val="24"/>
        </w:rPr>
        <w:t>、</w:t>
      </w:r>
      <w:r>
        <w:rPr>
          <w:rFonts w:ascii="宋体" w:hAnsi="宋体" w:cs="Arial" w:hint="eastAsia"/>
          <w:color w:val="000000" w:themeColor="text1"/>
          <w:sz w:val="24"/>
        </w:rPr>
        <w:t>诉讼费</w:t>
      </w:r>
      <w:r>
        <w:rPr>
          <w:rFonts w:hint="eastAsia"/>
          <w:bCs/>
          <w:color w:val="000000" w:themeColor="text1"/>
          <w:sz w:val="24"/>
        </w:rPr>
        <w:t>、因投资港股通标的股票而产生的各项合理费用</w:t>
      </w:r>
      <w:r>
        <w:rPr>
          <w:rFonts w:ascii="宋体" w:hAnsi="宋体" w:cs="Arial" w:hint="eastAsia"/>
          <w:color w:val="000000" w:themeColor="text1"/>
          <w:sz w:val="24"/>
        </w:rPr>
        <w:t>等根据有关法律法规、《基金合同》及相应协议的规定，列入当期基金费用。</w:t>
      </w:r>
    </w:p>
    <w:p w14:paraId="39270D1F"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（五）不列入基金费用的项目</w:t>
      </w:r>
    </w:p>
    <w:p w14:paraId="2A2F36E7"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《基金合同》生效前的相关费用；基金管理人和基金托管人因未履行或未完全履行义务导致的费用支出或基金财产的损失；</w:t>
      </w:r>
      <w:r>
        <w:rPr>
          <w:rFonts w:hint="eastAsia"/>
          <w:bCs/>
          <w:color w:val="000000" w:themeColor="text1"/>
          <w:sz w:val="24"/>
        </w:rPr>
        <w:t>基金管理人和基金托管人</w:t>
      </w:r>
      <w:r>
        <w:rPr>
          <w:rFonts w:ascii="宋体" w:hAnsi="宋体" w:cs="Arial" w:hint="eastAsia"/>
          <w:color w:val="000000" w:themeColor="text1"/>
          <w:sz w:val="24"/>
        </w:rPr>
        <w:t>处理与基金运作无关的事项发生的费用以及其他根据相关法律法规及中国证监会的有关规定不得列入基金费用的项目等不列入基金费用。</w:t>
      </w:r>
    </w:p>
    <w:p w14:paraId="536E8869" w14:textId="77777777" w:rsidR="00DF5F45" w:rsidRDefault="00153BE1">
      <w:pPr>
        <w:adjustRightInd w:val="0"/>
        <w:snapToGrid w:val="0"/>
        <w:spacing w:line="360" w:lineRule="auto"/>
        <w:ind w:firstLineChars="200" w:firstLine="480"/>
        <w:rPr>
          <w:rFonts w:ascii="宋体" w:hAnsi="宋体" w:cs="Arial"/>
          <w:bCs/>
          <w:color w:val="000000" w:themeColor="text1"/>
          <w:sz w:val="24"/>
        </w:rPr>
      </w:pPr>
      <w:r>
        <w:rPr>
          <w:rFonts w:ascii="宋体" w:hAnsi="宋体" w:cs="Arial" w:hint="eastAsia"/>
          <w:bCs/>
          <w:color w:val="000000" w:themeColor="text1"/>
          <w:sz w:val="24"/>
        </w:rPr>
        <w:t>（六）基金综合费用水平</w:t>
      </w:r>
      <w:r>
        <w:rPr>
          <w:rFonts w:ascii="宋体" w:hAnsi="宋体" w:cs="Arial"/>
          <w:bCs/>
          <w:color w:val="000000" w:themeColor="text1"/>
          <w:sz w:val="24"/>
        </w:rPr>
        <w:t xml:space="preserve"> </w:t>
      </w:r>
    </w:p>
    <w:p w14:paraId="01D7EB67"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bCs/>
          <w:color w:val="000000" w:themeColor="text1"/>
          <w:sz w:val="24"/>
        </w:rPr>
        <w:t>本基金综合费用水平在招募说明书及产品资料概要中列示。</w:t>
      </w:r>
    </w:p>
    <w:p w14:paraId="705A112F"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七</w:t>
      </w:r>
      <w:r>
        <w:rPr>
          <w:rFonts w:ascii="宋体" w:hAnsi="宋体" w:cs="Arial" w:hint="eastAsia"/>
          <w:color w:val="000000" w:themeColor="text1"/>
          <w:sz w:val="24"/>
        </w:rPr>
        <w:t>）基金管理费和基金托管费和销售服务费的调整</w:t>
      </w:r>
    </w:p>
    <w:p w14:paraId="4A522D09"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管理人和基金托管人经履行适当程序可协商酌情降低基金管理费和基金托管费和销售服务费，参照《基金合同》约定执行。基金管理人应当依照《信息披露办法》的有关规定编制临时报告书，并登载在规定报刊和规定网站上。</w:t>
      </w:r>
    </w:p>
    <w:p w14:paraId="26A8FBE5"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八</w:t>
      </w:r>
      <w:r>
        <w:rPr>
          <w:rFonts w:ascii="宋体" w:hAnsi="宋体" w:cs="Arial" w:hint="eastAsia"/>
          <w:color w:val="000000" w:themeColor="text1"/>
          <w:sz w:val="24"/>
        </w:rPr>
        <w:t>）基金管理费、基金托管费和</w:t>
      </w:r>
      <w:r>
        <w:rPr>
          <w:rFonts w:ascii="宋体" w:hAnsi="宋体" w:cs="Arial"/>
          <w:color w:val="000000" w:themeColor="text1"/>
          <w:sz w:val="24"/>
        </w:rPr>
        <w:t>C类基金份额的销售服务费的复核程序、支付方式和时间</w:t>
      </w:r>
    </w:p>
    <w:p w14:paraId="3BD43877"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1.复核程序</w:t>
      </w:r>
    </w:p>
    <w:p w14:paraId="5786F084"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基金托管人对基金管理人计提的基金管理费、基金托管费等，根据本托管协议和《基金合同》的有关规定进行复核。</w:t>
      </w:r>
    </w:p>
    <w:p w14:paraId="6EC5D623"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2.支付方式和时间</w:t>
      </w:r>
    </w:p>
    <w:p w14:paraId="36B4E2EB"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基金管理费、基金托管费每日计提，逐日累计至每月月末，按月支付。由基金托管人根据与基金管理人核对一致的财务数据，自动在月初</w:t>
      </w:r>
      <w:r>
        <w:rPr>
          <w:rFonts w:ascii="宋体" w:hAnsi="宋体" w:cs="Arial"/>
          <w:color w:val="000000" w:themeColor="text1"/>
          <w:sz w:val="24"/>
        </w:rPr>
        <w:t>5</w:t>
      </w:r>
      <w:r>
        <w:rPr>
          <w:rFonts w:ascii="宋体" w:hAnsi="宋体" w:cs="Arial" w:hint="eastAsia"/>
          <w:color w:val="000000" w:themeColor="text1"/>
          <w:sz w:val="24"/>
        </w:rPr>
        <w:t>个工作日内、按照规定的账户路径进行资金支付，基金管理人无需再出具资金划拨指令。</w:t>
      </w:r>
      <w:r>
        <w:rPr>
          <w:rFonts w:ascii="宋体" w:hAnsi="宋体" w:cs="Arial"/>
          <w:color w:val="000000" w:themeColor="text1"/>
          <w:sz w:val="24"/>
        </w:rPr>
        <w:t>若遇法定节假日、</w:t>
      </w:r>
      <w:r>
        <w:rPr>
          <w:rFonts w:ascii="宋体" w:hAnsi="宋体" w:cs="Arial" w:hint="eastAsia"/>
          <w:color w:val="000000" w:themeColor="text1"/>
          <w:sz w:val="24"/>
        </w:rPr>
        <w:t>公休假或不可抗力等，支付日期顺延。费用自动扣划后，基金管理人应进行核对，如发现数据不符，及时联系基金托管人协商解决。</w:t>
      </w:r>
    </w:p>
    <w:p w14:paraId="547221E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lastRenderedPageBreak/>
        <w:t>在首期支付基金管理费、</w:t>
      </w:r>
      <w:r>
        <w:rPr>
          <w:rFonts w:ascii="宋体" w:hAnsi="宋体" w:cs="Arial"/>
          <w:bCs/>
          <w:color w:val="000000" w:themeColor="text1"/>
          <w:sz w:val="24"/>
        </w:rPr>
        <w:t>C类基金份额的</w:t>
      </w:r>
      <w:r>
        <w:rPr>
          <w:rFonts w:ascii="宋体" w:hAnsi="宋体" w:cs="Arial" w:hint="eastAsia"/>
          <w:color w:val="000000" w:themeColor="text1"/>
          <w:sz w:val="24"/>
        </w:rPr>
        <w:t>销售服务费前，基金管理人应向基金托管人出具正式函件指定基金管理费、</w:t>
      </w:r>
      <w:r>
        <w:rPr>
          <w:rFonts w:ascii="宋体" w:hAnsi="宋体" w:cs="Arial"/>
          <w:bCs/>
          <w:color w:val="000000" w:themeColor="text1"/>
          <w:sz w:val="24"/>
        </w:rPr>
        <w:t>C类基金份额的</w:t>
      </w:r>
      <w:r>
        <w:rPr>
          <w:rFonts w:ascii="宋体" w:hAnsi="宋体" w:cs="Arial" w:hint="eastAsia"/>
          <w:color w:val="000000" w:themeColor="text1"/>
          <w:sz w:val="24"/>
        </w:rPr>
        <w:t>销售服务费的收款账户。基金管理人如需要变更此账户，应提前</w:t>
      </w:r>
      <w:r>
        <w:rPr>
          <w:rFonts w:ascii="宋体" w:hAnsi="宋体" w:cs="Arial"/>
          <w:color w:val="000000" w:themeColor="text1"/>
          <w:sz w:val="24"/>
        </w:rPr>
        <w:t>5个工作日向</w:t>
      </w:r>
      <w:r>
        <w:rPr>
          <w:rFonts w:ascii="宋体" w:hAnsi="宋体" w:cs="Arial" w:hint="eastAsia"/>
          <w:color w:val="000000" w:themeColor="text1"/>
          <w:sz w:val="24"/>
        </w:rPr>
        <w:t>基金托管人出具书面的收款账户变更通知。</w:t>
      </w:r>
    </w:p>
    <w:p w14:paraId="398C1853"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九</w:t>
      </w:r>
      <w:r>
        <w:rPr>
          <w:rFonts w:ascii="宋体" w:hAnsi="宋体" w:cs="Arial" w:hint="eastAsia"/>
          <w:color w:val="000000" w:themeColor="text1"/>
          <w:sz w:val="24"/>
        </w:rPr>
        <w:t>）违规处理方式</w:t>
      </w:r>
    </w:p>
    <w:p w14:paraId="4E8E0DD4"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托管人发现基金管理人违反《基金法》、《基金合同》、《运作办法》及其他有关规定从基金财产中列支费用时，基金托管人可要求基金管理人予以说明解释，如基金管理人无正当理由，基金托管人可拒绝支付，但应及时通知基金管理人。</w:t>
      </w:r>
    </w:p>
    <w:p w14:paraId="3AB56A83"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w:t>
      </w:r>
      <w:r>
        <w:rPr>
          <w:rFonts w:ascii="宋体" w:hAnsi="宋体" w:cs="Arial"/>
          <w:color w:val="000000" w:themeColor="text1"/>
          <w:sz w:val="24"/>
        </w:rPr>
        <w:t>十</w:t>
      </w:r>
      <w:r>
        <w:rPr>
          <w:rFonts w:ascii="宋体" w:hAnsi="宋体" w:cs="Arial" w:hint="eastAsia"/>
          <w:color w:val="000000" w:themeColor="text1"/>
          <w:sz w:val="24"/>
        </w:rPr>
        <w:t>）实施侧袋机制期间的基金费用</w:t>
      </w:r>
    </w:p>
    <w:p w14:paraId="5CC3FE07"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本基金实施侧袋机制的，与侧袋账户有关的费用可以从侧袋账户中列支，但应待侧袋账户资产变现后方可列支，有关费用可酌情收取或减免，但不得收取管理费，详见招募说明书或相关公告的规定。</w:t>
      </w:r>
    </w:p>
    <w:p w14:paraId="65F53599" w14:textId="77777777" w:rsidR="00DF5F45" w:rsidRDefault="00153BE1">
      <w:pPr>
        <w:pStyle w:val="2"/>
        <w:spacing w:line="360" w:lineRule="auto"/>
        <w:jc w:val="center"/>
        <w:rPr>
          <w:rFonts w:ascii="宋体" w:eastAsia="宋体" w:hAnsi="宋体"/>
          <w:color w:val="000000" w:themeColor="text1"/>
          <w:sz w:val="30"/>
        </w:rPr>
      </w:pPr>
      <w:bookmarkStart w:id="93" w:name="_Toc124325896"/>
      <w:r>
        <w:rPr>
          <w:rFonts w:ascii="宋体" w:eastAsia="宋体" w:hAnsi="宋体" w:hint="eastAsia"/>
          <w:color w:val="000000" w:themeColor="text1"/>
          <w:sz w:val="30"/>
        </w:rPr>
        <w:t>十二、基金份额持有人名册的保管</w:t>
      </w:r>
      <w:bookmarkEnd w:id="93"/>
    </w:p>
    <w:p w14:paraId="0B160D5F"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限按照法律法规的规定执行。如不能妥善保管，则按相关法规承担责任。</w:t>
      </w:r>
    </w:p>
    <w:p w14:paraId="680BA05E"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在基金托管人要求或编制中期报告和年度报告前，基金管理人应将有关资料送交基金托管人，不得无故拒绝或延误提供，并保证其真实性、准确性和完整性。</w:t>
      </w:r>
      <w:r>
        <w:rPr>
          <w:rFonts w:ascii="宋体" w:hAnsi="宋体" w:hint="eastAsia"/>
          <w:color w:val="000000" w:themeColor="text1"/>
          <w:kern w:val="0"/>
          <w:sz w:val="24"/>
        </w:rPr>
        <w:t>基金托管人不得将所保管的基金份额持有人名册用于基金托管业务以外的其他用途，并应遵守保密义务，法律法规或监管部门另有规定的除外。</w:t>
      </w:r>
    </w:p>
    <w:p w14:paraId="21143275" w14:textId="77777777" w:rsidR="00DF5F45" w:rsidRDefault="00DF5F45">
      <w:pPr>
        <w:adjustRightInd w:val="0"/>
        <w:snapToGrid w:val="0"/>
        <w:spacing w:line="360" w:lineRule="auto"/>
        <w:rPr>
          <w:rFonts w:ascii="宋体" w:hAnsi="宋体" w:cs="Arial"/>
          <w:color w:val="000000" w:themeColor="text1"/>
          <w:sz w:val="24"/>
        </w:rPr>
      </w:pPr>
    </w:p>
    <w:p w14:paraId="1EE07318" w14:textId="77777777" w:rsidR="00DF5F45" w:rsidRDefault="00153BE1">
      <w:pPr>
        <w:pStyle w:val="2"/>
        <w:spacing w:line="360" w:lineRule="auto"/>
        <w:jc w:val="center"/>
        <w:rPr>
          <w:rFonts w:ascii="宋体" w:eastAsia="宋体" w:hAnsi="宋体"/>
          <w:color w:val="000000" w:themeColor="text1"/>
          <w:sz w:val="30"/>
        </w:rPr>
      </w:pPr>
      <w:bookmarkStart w:id="94" w:name="_Toc124325897"/>
      <w:r>
        <w:rPr>
          <w:rFonts w:ascii="宋体" w:eastAsia="宋体" w:hAnsi="宋体" w:hint="eastAsia"/>
          <w:color w:val="000000" w:themeColor="text1"/>
          <w:sz w:val="30"/>
        </w:rPr>
        <w:t>十三、基金有关文件档案的保存</w:t>
      </w:r>
      <w:bookmarkEnd w:id="94"/>
    </w:p>
    <w:p w14:paraId="23AC293A"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（一）档案保存</w:t>
      </w:r>
    </w:p>
    <w:p w14:paraId="1EB650D1"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基金管理人应保存基金财产管理业务活动的记录、账册、报表和其他相关资料。基金托管人应保存基金托管业务活动的记录、账册、报表和其他相关资料。</w:t>
      </w:r>
      <w:r>
        <w:rPr>
          <w:rFonts w:ascii="宋体" w:hAnsi="宋体" w:cs="Arial" w:hint="eastAsia"/>
          <w:color w:val="000000" w:themeColor="text1"/>
          <w:sz w:val="24"/>
        </w:rPr>
        <w:lastRenderedPageBreak/>
        <w:t>基金管理人和基金托管人都应当按法律法规规定的期限保管。</w:t>
      </w:r>
    </w:p>
    <w:p w14:paraId="534724FC"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（二）合同档案的建立</w:t>
      </w:r>
    </w:p>
    <w:p w14:paraId="6B62C730"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1.基金管理人签署重大合同文本后，应及时将合同文本正本送达基金托管人处。</w:t>
      </w:r>
    </w:p>
    <w:p w14:paraId="47806F01"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2.基金管理人应及时将与本基金账务处理、资金划拨等有关的合同、协议传真基金托管人。</w:t>
      </w:r>
    </w:p>
    <w:p w14:paraId="252F48DD"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（三）变更与协助</w:t>
      </w:r>
    </w:p>
    <w:p w14:paraId="220B156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若基金管理人</w:t>
      </w:r>
      <w:r>
        <w:rPr>
          <w:rFonts w:ascii="宋体" w:hAnsi="宋体" w:cs="Arial"/>
          <w:color w:val="000000" w:themeColor="text1"/>
          <w:sz w:val="24"/>
        </w:rPr>
        <w:t>/基金托管人发生变更，未变更的一方有义务协助变更后的接任人接收相应文件。</w:t>
      </w:r>
    </w:p>
    <w:p w14:paraId="69B74243" w14:textId="77777777" w:rsidR="00DF5F45" w:rsidRDefault="00DF5F45">
      <w:pPr>
        <w:adjustRightInd w:val="0"/>
        <w:snapToGrid w:val="0"/>
        <w:spacing w:line="360" w:lineRule="auto"/>
        <w:ind w:firstLineChars="200" w:firstLine="602"/>
        <w:rPr>
          <w:rFonts w:ascii="宋体" w:hAnsi="宋体"/>
          <w:b/>
          <w:bCs/>
          <w:color w:val="000000" w:themeColor="text1"/>
          <w:sz w:val="30"/>
          <w:szCs w:val="30"/>
        </w:rPr>
      </w:pPr>
    </w:p>
    <w:p w14:paraId="45D33FA2" w14:textId="77777777" w:rsidR="00DF5F45" w:rsidRDefault="00153BE1">
      <w:pPr>
        <w:pStyle w:val="2"/>
        <w:spacing w:line="360" w:lineRule="auto"/>
        <w:jc w:val="center"/>
        <w:rPr>
          <w:rFonts w:ascii="宋体" w:eastAsia="宋体" w:hAnsi="宋体"/>
          <w:color w:val="000000" w:themeColor="text1"/>
          <w:sz w:val="30"/>
        </w:rPr>
      </w:pPr>
      <w:bookmarkStart w:id="95" w:name="_Toc124325898"/>
      <w:r>
        <w:rPr>
          <w:rFonts w:ascii="宋体" w:eastAsia="宋体" w:hAnsi="宋体" w:hint="eastAsia"/>
          <w:color w:val="000000" w:themeColor="text1"/>
          <w:sz w:val="30"/>
        </w:rPr>
        <w:t>十四、基金管理人和基金托管人的更换</w:t>
      </w:r>
      <w:bookmarkEnd w:id="95"/>
    </w:p>
    <w:p w14:paraId="543D0F3B" w14:textId="77777777" w:rsidR="00DF5F45" w:rsidRDefault="00153BE1">
      <w:pPr>
        <w:adjustRightInd w:val="0"/>
        <w:snapToGrid w:val="0"/>
        <w:spacing w:line="360" w:lineRule="auto"/>
        <w:ind w:firstLineChars="200" w:firstLine="480"/>
        <w:rPr>
          <w:rFonts w:ascii="宋体" w:hAnsi="宋体" w:cs="Arial"/>
          <w:color w:val="000000" w:themeColor="text1"/>
          <w:sz w:val="24"/>
        </w:rPr>
      </w:pPr>
      <w:bookmarkStart w:id="96" w:name="_Hlk227066855"/>
      <w:r>
        <w:rPr>
          <w:rFonts w:ascii="宋体" w:hAnsi="宋体" w:cs="Arial" w:hint="eastAsia"/>
          <w:color w:val="000000" w:themeColor="text1"/>
          <w:sz w:val="24"/>
        </w:rPr>
        <w:t>（一）基金管理人职责终止的情形</w:t>
      </w:r>
    </w:p>
    <w:p w14:paraId="457E1B0E"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1.基金管理人职责终止的情形</w:t>
      </w:r>
    </w:p>
    <w:p w14:paraId="11E0D303"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有下列情形之一的，基金管理人职责终止：</w:t>
      </w:r>
    </w:p>
    <w:p w14:paraId="790BD548"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(1)被依法取消基金管理资格；</w:t>
      </w:r>
    </w:p>
    <w:p w14:paraId="56021807"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 xml:space="preserve">(2)被基金份额持有人大会解任； </w:t>
      </w:r>
    </w:p>
    <w:p w14:paraId="29609B8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(3)依法解散、被依法撤销或被依法宣告破产；</w:t>
      </w:r>
    </w:p>
    <w:p w14:paraId="7A3BAC2F"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(4)法律法规及中国证监会规定的和《基金合同》约定的其他情形。</w:t>
      </w:r>
    </w:p>
    <w:p w14:paraId="5E4989F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2.基金管理人的更换程序</w:t>
      </w:r>
    </w:p>
    <w:p w14:paraId="463EFBE2"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更换基金管理人必须依照如下程序进行：</w:t>
      </w:r>
    </w:p>
    <w:p w14:paraId="7951F28D"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(1)提名：新任基金管理人由基金托管人</w:t>
      </w:r>
      <w:r>
        <w:rPr>
          <w:rFonts w:ascii="宋体" w:hAnsi="宋体" w:hint="eastAsia"/>
          <w:color w:val="000000" w:themeColor="text1"/>
          <w:sz w:val="24"/>
        </w:rPr>
        <w:t>或由单独或合计持有</w:t>
      </w:r>
      <w:r>
        <w:rPr>
          <w:rFonts w:ascii="宋体" w:hAnsi="宋体"/>
          <w:color w:val="000000" w:themeColor="text1"/>
          <w:sz w:val="24"/>
        </w:rPr>
        <w:t>10%以上(含10%）基金份额的基金份额持有人</w:t>
      </w:r>
      <w:r>
        <w:rPr>
          <w:rFonts w:ascii="宋体" w:hAnsi="宋体" w:cs="Arial" w:hint="eastAsia"/>
          <w:color w:val="000000" w:themeColor="text1"/>
          <w:sz w:val="24"/>
        </w:rPr>
        <w:t>提名；</w:t>
      </w:r>
    </w:p>
    <w:p w14:paraId="57D3092D"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5613EA3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(3)临时基金管理人：新任基金管理人产生之前，由中国证监会指定临时基金管理人；</w:t>
      </w:r>
    </w:p>
    <w:p w14:paraId="550D759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(4)备案：基金份额持有人大会更换基金管理人的决议须报中国证监会备案；</w:t>
      </w:r>
    </w:p>
    <w:p w14:paraId="0065A08A"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lastRenderedPageBreak/>
        <w:t>(5)公告：基金管理人更换后，由基金托管人在更换基金管理人的基金份额持有人大会决议生效后</w:t>
      </w:r>
      <w:r>
        <w:rPr>
          <w:rFonts w:ascii="宋体" w:hAnsi="宋体" w:cs="Arial" w:hint="eastAsia"/>
          <w:color w:val="000000" w:themeColor="text1"/>
          <w:sz w:val="24"/>
        </w:rPr>
        <w:t>依照《信息披露办法》的有关规定在规定媒介公告；</w:t>
      </w:r>
    </w:p>
    <w:p w14:paraId="55CC90D1"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(6)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w:t>
      </w:r>
      <w:r>
        <w:rPr>
          <w:rFonts w:ascii="宋体" w:hAnsi="宋体" w:cs="Arial" w:hint="eastAsia"/>
          <w:color w:val="000000" w:themeColor="text1"/>
          <w:sz w:val="24"/>
        </w:rPr>
        <w:t>和基金资产净值；</w:t>
      </w:r>
    </w:p>
    <w:p w14:paraId="23DC9518"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(7)审计：基金管理人职责终止的，应当按照法律法规规定聘请会计师事务所对基金财产进行审计，并将审计结果予以公告，同时报中国证监会备案，审计费</w:t>
      </w:r>
      <w:r>
        <w:rPr>
          <w:rFonts w:ascii="宋体" w:hAnsi="宋体" w:cs="Arial" w:hint="eastAsia"/>
          <w:color w:val="000000" w:themeColor="text1"/>
          <w:sz w:val="24"/>
        </w:rPr>
        <w:t>用在基金财产中列支；</w:t>
      </w:r>
    </w:p>
    <w:p w14:paraId="6050828C" w14:textId="77777777" w:rsidR="00DF5F45" w:rsidRDefault="00153BE1">
      <w:pPr>
        <w:adjustRightInd w:val="0"/>
        <w:snapToGrid w:val="0"/>
        <w:spacing w:line="360" w:lineRule="auto"/>
        <w:ind w:firstLineChars="200" w:firstLine="480"/>
        <w:rPr>
          <w:rFonts w:ascii="宋体" w:hAnsi="宋体"/>
          <w:color w:val="000000" w:themeColor="text1"/>
          <w:sz w:val="30"/>
          <w:szCs w:val="30"/>
        </w:rPr>
      </w:pPr>
      <w:r>
        <w:rPr>
          <w:rFonts w:ascii="宋体" w:hAnsi="宋体" w:cs="Arial"/>
          <w:color w:val="000000" w:themeColor="text1"/>
          <w:sz w:val="24"/>
        </w:rPr>
        <w:t>(8)基金名称变更：基金管理人更换后，如果原任或新任基金管理人要求，应按其要求替换或删除基金名称中与原基金管理人有关的名称字样。</w:t>
      </w:r>
    </w:p>
    <w:p w14:paraId="0BAD23F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（二）基金托管人职责终止的情形</w:t>
      </w:r>
    </w:p>
    <w:p w14:paraId="0C4A15F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1.基金托管人职责终止的情形</w:t>
      </w:r>
    </w:p>
    <w:p w14:paraId="1139B75E"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有下列情形之一的，基金托管人职责终止：</w:t>
      </w:r>
    </w:p>
    <w:p w14:paraId="6E3C56AE"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(1)被依法取消基金托管资格；</w:t>
      </w:r>
    </w:p>
    <w:p w14:paraId="1BD640A2"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 xml:space="preserve">(2)被基金份额持有人大会解任； </w:t>
      </w:r>
    </w:p>
    <w:p w14:paraId="057A3E3A"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(3)依法解散、被依法撤销或被依法宣告破产；</w:t>
      </w:r>
    </w:p>
    <w:p w14:paraId="3DB1F377"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(4)法律法规及中国证监会规定的和《基金合同》约定的其他情形。</w:t>
      </w:r>
    </w:p>
    <w:p w14:paraId="6ED5DF24"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2.基金托管人的更换程序</w:t>
      </w:r>
    </w:p>
    <w:p w14:paraId="1DDE49C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(1)提名：新任基金托管人由基金管理人</w:t>
      </w:r>
      <w:r>
        <w:rPr>
          <w:rFonts w:ascii="宋体" w:hAnsi="宋体" w:hint="eastAsia"/>
          <w:color w:val="000000" w:themeColor="text1"/>
          <w:sz w:val="24"/>
        </w:rPr>
        <w:t>或由单独或合计持有</w:t>
      </w:r>
      <w:r>
        <w:rPr>
          <w:rFonts w:ascii="宋体" w:hAnsi="宋体"/>
          <w:color w:val="000000" w:themeColor="text1"/>
          <w:sz w:val="24"/>
        </w:rPr>
        <w:t>10%以上(含10%）基金份额的基金份额持有人</w:t>
      </w:r>
      <w:r>
        <w:rPr>
          <w:rFonts w:ascii="宋体" w:hAnsi="宋体" w:cs="Arial" w:hint="eastAsia"/>
          <w:color w:val="000000" w:themeColor="text1"/>
          <w:sz w:val="24"/>
        </w:rPr>
        <w:t>提名；</w:t>
      </w:r>
    </w:p>
    <w:p w14:paraId="73C17876"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60373BE7"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(3)临时基金托管人：新任基金托管人产生之前，由中国证监会指定临时基金托管人；</w:t>
      </w:r>
    </w:p>
    <w:p w14:paraId="420202A1"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(4)备案：基金份额持有人大会更换基金托管人的决议须报中国证监会备案；</w:t>
      </w:r>
    </w:p>
    <w:p w14:paraId="622BC20A"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(5)公告：基金托管人更换后，由基金管理人在更换基金托管人的基金份额持有人大会决议生效后</w:t>
      </w:r>
      <w:r>
        <w:rPr>
          <w:rFonts w:ascii="宋体" w:hAnsi="宋体" w:cs="Arial" w:hint="eastAsia"/>
          <w:color w:val="000000" w:themeColor="text1"/>
          <w:sz w:val="24"/>
        </w:rPr>
        <w:t>依照《信息披露办法》的有关规定在规定媒介公告；</w:t>
      </w:r>
    </w:p>
    <w:p w14:paraId="43BFD48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(6)交接：基金托管人职责终止的，应当妥善保管基金财产和基金托管业务资</w:t>
      </w:r>
      <w:r>
        <w:rPr>
          <w:rFonts w:ascii="宋体" w:hAnsi="宋体" w:cs="Arial"/>
          <w:color w:val="000000" w:themeColor="text1"/>
          <w:sz w:val="24"/>
        </w:rPr>
        <w:lastRenderedPageBreak/>
        <w:t>料，及时办理基金财产和基金托管业务的移交手续，新任基金托管人或者临时基金托管人应当及时接收。新任基金托管人或临时基金托管人</w:t>
      </w:r>
      <w:r>
        <w:rPr>
          <w:rFonts w:ascii="宋体" w:hAnsi="宋体" w:cs="Arial" w:hint="eastAsia"/>
          <w:color w:val="000000" w:themeColor="text1"/>
          <w:sz w:val="24"/>
        </w:rPr>
        <w:t>应与基金管理人核对基金</w:t>
      </w:r>
      <w:r>
        <w:rPr>
          <w:rFonts w:ascii="宋体" w:hAnsi="宋体" w:cs="Arial"/>
          <w:color w:val="000000" w:themeColor="text1"/>
          <w:sz w:val="24"/>
        </w:rPr>
        <w:t>资产总值</w:t>
      </w:r>
      <w:r>
        <w:rPr>
          <w:rFonts w:ascii="宋体" w:hAnsi="宋体" w:cs="Arial" w:hint="eastAsia"/>
          <w:color w:val="000000" w:themeColor="text1"/>
          <w:sz w:val="24"/>
        </w:rPr>
        <w:t>和基金资产净值；</w:t>
      </w:r>
    </w:p>
    <w:p w14:paraId="3148D8D2"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(7)审计：基金托管人职责终止的，应当按照法律法规规定聘请会计师事务所对基金财产进行审计，并将审计结果予以公告，同时报中国证监会备案，审计费用从基金财产中列支。</w:t>
      </w:r>
    </w:p>
    <w:p w14:paraId="52B2B65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（三）基金管理人与基金托管人同时更换的条件和程序</w:t>
      </w:r>
    </w:p>
    <w:p w14:paraId="2D0A47CE"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1.提名：如果基金管理人和基金托管人同时更换，由单独或合计持有基金总</w:t>
      </w:r>
      <w:r>
        <w:rPr>
          <w:rFonts w:ascii="宋体" w:hAnsi="宋体" w:cs="Arial" w:hint="eastAsia"/>
          <w:color w:val="000000" w:themeColor="text1"/>
          <w:sz w:val="24"/>
        </w:rPr>
        <w:t>份额</w:t>
      </w:r>
      <w:r>
        <w:rPr>
          <w:rFonts w:ascii="宋体" w:hAnsi="宋体" w:cs="Arial"/>
          <w:color w:val="000000" w:themeColor="text1"/>
          <w:sz w:val="24"/>
        </w:rPr>
        <w:t>10%以上(含10%）的基金份额持有人提名新的基金管理人和基金托管人；</w:t>
      </w:r>
    </w:p>
    <w:p w14:paraId="7E716AA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2.基金管理人和基金托管人的更换分别按上述程序进行；</w:t>
      </w:r>
    </w:p>
    <w:p w14:paraId="601540B6" w14:textId="32332F65"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3.</w:t>
      </w:r>
      <w:r>
        <w:rPr>
          <w:rFonts w:ascii="宋体" w:hAnsi="宋体" w:cs="Arial" w:hint="eastAsia"/>
          <w:color w:val="000000" w:themeColor="text1"/>
          <w:sz w:val="24"/>
        </w:rPr>
        <w:t>公告：新任基金管理人和新任基金托管人应在更换基金管理人和基金托管人的基金份额持有人大会决议生效后依照《信息披露办法》的有关规定在规定媒介上联合公告。</w:t>
      </w:r>
    </w:p>
    <w:p w14:paraId="2A60813A" w14:textId="77777777" w:rsidR="00DF5F45" w:rsidRDefault="00153BE1">
      <w:pPr>
        <w:adjustRightInd w:val="0"/>
        <w:snapToGrid w:val="0"/>
        <w:spacing w:line="360" w:lineRule="auto"/>
        <w:ind w:firstLineChars="200" w:firstLine="480"/>
        <w:rPr>
          <w:rFonts w:ascii="宋体" w:hAnsi="宋体" w:cs="Arial"/>
          <w:color w:val="000000" w:themeColor="text1"/>
          <w:sz w:val="24"/>
        </w:rPr>
      </w:pPr>
      <w:bookmarkStart w:id="97" w:name="_Hlk227066954"/>
      <w:bookmarkEnd w:id="96"/>
      <w:r>
        <w:rPr>
          <w:rFonts w:ascii="宋体" w:hAnsi="宋体" w:cs="Arial" w:hint="eastAsia"/>
          <w:color w:val="000000" w:themeColor="text1"/>
          <w:sz w:val="24"/>
        </w:rPr>
        <w:t>（四）</w:t>
      </w:r>
      <w:r>
        <w:rPr>
          <w:rFonts w:hint="eastAsia"/>
          <w:bCs/>
          <w:color w:val="000000" w:themeColor="text1"/>
          <w:sz w:val="24"/>
        </w:rPr>
        <w:t>新任基金管理人或临时基金管理人接收基金管理业务，或新任基金托管人或临时基金托管人接收基金财产和基金托管业务前，原基金管理人或原基金托管人应继续履行相关职责，并保证不做出对基金份额持有人的利益造成损害的行为。原基金管理人或原基金托管人在继续履行相关职责期间，仍有权按照《基金合同》的规定收取基金管理费、基金托管费。</w:t>
      </w:r>
    </w:p>
    <w:p w14:paraId="534A5241"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五）本部分关于基金管理人、基金托管人更换条件和程序的约定，凡是直接引用法律法规的部分，如将来法律法规修改导致相关内容被取消或变更的，基金管理人与基金托管人协商一致并提前公告后，经履行适当的程序后，可直接对相应内容进行修改和调整，无需召开基金份额持有人大会审议。</w:t>
      </w:r>
    </w:p>
    <w:bookmarkEnd w:id="97"/>
    <w:p w14:paraId="65426CB1" w14:textId="77777777" w:rsidR="00DF5F45" w:rsidRDefault="00DF5F45">
      <w:pPr>
        <w:adjustRightInd w:val="0"/>
        <w:snapToGrid w:val="0"/>
        <w:spacing w:line="360" w:lineRule="auto"/>
        <w:rPr>
          <w:rFonts w:ascii="宋体" w:hAnsi="宋体" w:cs="Arial"/>
          <w:color w:val="000000" w:themeColor="text1"/>
          <w:sz w:val="24"/>
        </w:rPr>
      </w:pPr>
    </w:p>
    <w:p w14:paraId="40509D6A" w14:textId="77777777" w:rsidR="00DF5F45" w:rsidRDefault="00153BE1">
      <w:pPr>
        <w:pStyle w:val="2"/>
        <w:spacing w:line="360" w:lineRule="auto"/>
        <w:jc w:val="center"/>
        <w:rPr>
          <w:rFonts w:ascii="宋体" w:eastAsia="宋体" w:hAnsi="宋体"/>
          <w:color w:val="000000" w:themeColor="text1"/>
          <w:sz w:val="30"/>
        </w:rPr>
      </w:pPr>
      <w:bookmarkStart w:id="98" w:name="_Toc124325899"/>
      <w:r>
        <w:rPr>
          <w:rFonts w:ascii="宋体" w:eastAsia="宋体" w:hAnsi="宋体" w:hint="eastAsia"/>
          <w:color w:val="000000" w:themeColor="text1"/>
          <w:sz w:val="30"/>
        </w:rPr>
        <w:t>十五、禁止行为</w:t>
      </w:r>
      <w:bookmarkEnd w:id="98"/>
    </w:p>
    <w:p w14:paraId="6FB3C08D"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本协议当事人禁止从事的行为，包括但不限于：</w:t>
      </w:r>
    </w:p>
    <w:p w14:paraId="5DEEC147" w14:textId="77777777" w:rsidR="00DF5F45" w:rsidRDefault="00153BE1">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（一）基金管理人、基金托管人将其固有财产或者他人财产混同于基金财产从事证券投资。</w:t>
      </w:r>
    </w:p>
    <w:p w14:paraId="2B79BBE7" w14:textId="77777777" w:rsidR="00DF5F45" w:rsidRDefault="00153BE1">
      <w:pPr>
        <w:spacing w:line="360" w:lineRule="auto"/>
        <w:ind w:firstLineChars="200" w:firstLine="480"/>
        <w:rPr>
          <w:rFonts w:ascii="宋体" w:hAnsi="宋体"/>
          <w:color w:val="000000" w:themeColor="text1"/>
        </w:rPr>
      </w:pPr>
      <w:r>
        <w:rPr>
          <w:rFonts w:ascii="宋体" w:hAnsi="宋体" w:hint="eastAsia"/>
          <w:color w:val="000000" w:themeColor="text1"/>
          <w:sz w:val="24"/>
        </w:rPr>
        <w:t>（二）基金管理人不公平地对待其管理的不同基金财产，基金托管人不公平</w:t>
      </w:r>
      <w:r>
        <w:rPr>
          <w:rFonts w:ascii="宋体" w:hAnsi="宋体" w:hint="eastAsia"/>
          <w:color w:val="000000" w:themeColor="text1"/>
          <w:sz w:val="24"/>
        </w:rPr>
        <w:lastRenderedPageBreak/>
        <w:t>地对待其托管的不同基金财产。</w:t>
      </w:r>
    </w:p>
    <w:p w14:paraId="782A511A" w14:textId="77777777" w:rsidR="00DF5F45" w:rsidRDefault="00153BE1">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（三）基金管理人、基金托管人利用基金财产或职务之便为基金份额持有人以外的第三人牟取利益。</w:t>
      </w:r>
    </w:p>
    <w:p w14:paraId="0A763787" w14:textId="77777777" w:rsidR="00DF5F45" w:rsidRDefault="00153BE1">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（四）基金管理人、基金托管人向基金份额持有人违规承诺收益或者承担损失。</w:t>
      </w:r>
    </w:p>
    <w:p w14:paraId="743CEADD"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（五）基金管理人、基金托管人对他人泄露基金运作和管理过程中任何尚未按法律法规规定的方式公开披露的信息。</w:t>
      </w:r>
    </w:p>
    <w:p w14:paraId="600B22A9"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（六）基金管理人在没有充足资金的情况下向基金托管人发出投资指令和赎回、分红资金的划拨指令，或违规向基金托管人发出指令。</w:t>
      </w:r>
    </w:p>
    <w:p w14:paraId="263D8955"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（七）基金管理人、基金托管人在行政上、财务上不独立，其董事、监事、高级管理人员和其他从业人员相互兼职。</w:t>
      </w:r>
    </w:p>
    <w:p w14:paraId="21CA56DA"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（八）基金托管人私自动用或处分基金财产，根据基金管理人的合法指令、《基金合同》或托管协议的规定进行处分的除外。</w:t>
      </w:r>
    </w:p>
    <w:p w14:paraId="6A729BEB"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（九）基金财产用于下列投资或者活动：</w:t>
      </w:r>
      <w:r>
        <w:rPr>
          <w:rFonts w:ascii="宋体" w:hAnsi="宋体" w:cs="Arial"/>
          <w:color w:val="000000" w:themeColor="text1"/>
          <w:sz w:val="24"/>
        </w:rPr>
        <w:t>1.承销证券；2.违反规定向他人贷款或者提供担保；3.从事承担无限责任的投资；4.买卖其他基金份额，但是法律法规或中国证监会另有规定的除外；5.向其基金管理人、基金托管人出资；6.从事内幕交易、操纵证券交易价格及其他不正当的证券交易活动；7.法律、行政法规和中国证监会规定禁止的其他活动。如法律法规或监管部门取消或调整上述禁止性规定，基金管理人在履行法定程序后，则本基金投资不再受相关限制或按调整后的规定执行。</w:t>
      </w:r>
    </w:p>
    <w:p w14:paraId="49D48573"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（十）法律法规和《基金合同》禁止的其他行为，以及依照法律、行政法规有关规定，由中国证监会规定禁止基金管理人、基金托管人从事的其他行为。</w:t>
      </w:r>
    </w:p>
    <w:p w14:paraId="79106903" w14:textId="77777777" w:rsidR="00DF5F45" w:rsidRDefault="00DF5F45">
      <w:pPr>
        <w:adjustRightInd w:val="0"/>
        <w:snapToGrid w:val="0"/>
        <w:spacing w:line="360" w:lineRule="auto"/>
        <w:rPr>
          <w:rFonts w:ascii="宋体" w:hAnsi="宋体"/>
          <w:color w:val="000000" w:themeColor="text1"/>
          <w:sz w:val="30"/>
          <w:szCs w:val="30"/>
        </w:rPr>
      </w:pPr>
    </w:p>
    <w:p w14:paraId="059988F0" w14:textId="77777777" w:rsidR="00DF5F45" w:rsidRDefault="00153BE1">
      <w:pPr>
        <w:pStyle w:val="2"/>
        <w:spacing w:line="360" w:lineRule="auto"/>
        <w:jc w:val="center"/>
        <w:rPr>
          <w:rFonts w:ascii="宋体" w:eastAsia="宋体" w:hAnsi="宋体"/>
          <w:color w:val="000000" w:themeColor="text1"/>
          <w:sz w:val="30"/>
        </w:rPr>
      </w:pPr>
      <w:bookmarkStart w:id="99" w:name="_Toc124325900"/>
      <w:r>
        <w:rPr>
          <w:rFonts w:ascii="宋体" w:eastAsia="宋体" w:hAnsi="宋体" w:hint="eastAsia"/>
          <w:color w:val="000000" w:themeColor="text1"/>
          <w:sz w:val="30"/>
        </w:rPr>
        <w:t>十六、托管协议的变更、终止与基金财产的清算</w:t>
      </w:r>
      <w:bookmarkEnd w:id="99"/>
    </w:p>
    <w:p w14:paraId="6E270194"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（一）托管协议的变更程序</w:t>
      </w:r>
    </w:p>
    <w:p w14:paraId="697472EA" w14:textId="77777777" w:rsidR="00DF5F45" w:rsidRDefault="00153BE1">
      <w:pPr>
        <w:adjustRightInd w:val="0"/>
        <w:snapToGrid w:val="0"/>
        <w:spacing w:line="360" w:lineRule="auto"/>
        <w:ind w:firstLineChars="200" w:firstLine="480"/>
        <w:rPr>
          <w:rFonts w:ascii="宋体" w:hAnsi="宋体"/>
          <w:color w:val="000000" w:themeColor="text1"/>
          <w:sz w:val="30"/>
          <w:szCs w:val="30"/>
        </w:rPr>
      </w:pPr>
      <w:r>
        <w:rPr>
          <w:rFonts w:ascii="宋体" w:hAnsi="宋体" w:cs="Arial" w:hint="eastAsia"/>
          <w:color w:val="000000" w:themeColor="text1"/>
          <w:sz w:val="24"/>
        </w:rPr>
        <w:t>本协议双方当事人经协商一致，可以对协议进行修改。修改后的新协议，其内容不得与《基金合同》的规定有任何冲突。</w:t>
      </w:r>
    </w:p>
    <w:p w14:paraId="3369676E"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（二）托管协议终止的情形</w:t>
      </w:r>
    </w:p>
    <w:p w14:paraId="6DB1BA6E"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lastRenderedPageBreak/>
        <w:t>1.《基金合同》终止；</w:t>
      </w:r>
    </w:p>
    <w:p w14:paraId="5649F523"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2.基金托管人解散、依法被撤销、破产或由其他基金托管人接管基金托管业务；</w:t>
      </w:r>
    </w:p>
    <w:p w14:paraId="6E4E1E32"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3.基金管理人解散、依法被撤销、破产或由其他基金管理人接管基金管理业务；</w:t>
      </w:r>
    </w:p>
    <w:p w14:paraId="45E9663D"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4.发生法律法规或《基金合同》规定的终止事项。</w:t>
      </w:r>
    </w:p>
    <w:p w14:paraId="26041897" w14:textId="77777777" w:rsidR="00DF5F45" w:rsidRDefault="00153BE1">
      <w:pPr>
        <w:adjustRightInd w:val="0"/>
        <w:snapToGrid w:val="0"/>
        <w:spacing w:line="360" w:lineRule="auto"/>
        <w:ind w:firstLineChars="200" w:firstLine="480"/>
        <w:rPr>
          <w:rFonts w:ascii="宋体" w:hAnsi="宋体" w:cs="Arial"/>
          <w:color w:val="000000" w:themeColor="text1"/>
          <w:sz w:val="24"/>
        </w:rPr>
      </w:pPr>
      <w:bookmarkStart w:id="100" w:name="_Hlk227067251"/>
      <w:r>
        <w:rPr>
          <w:rFonts w:ascii="宋体" w:hAnsi="宋体" w:cs="Arial" w:hint="eastAsia"/>
          <w:color w:val="000000" w:themeColor="text1"/>
          <w:sz w:val="24"/>
        </w:rPr>
        <w:t>（三）基金财产的清算</w:t>
      </w:r>
    </w:p>
    <w:p w14:paraId="063017F3"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1.基金财产清算小组：自出现《基金合同》终止事由之日起30个工作日内成</w:t>
      </w:r>
      <w:r>
        <w:rPr>
          <w:rFonts w:ascii="宋体" w:hAnsi="宋体" w:cs="Arial" w:hint="eastAsia"/>
          <w:color w:val="000000" w:themeColor="text1"/>
          <w:sz w:val="24"/>
        </w:rPr>
        <w:t>立清算小组，基金管理人组织基金财产清算小组并在中国证监会的监督下进行基金清算。</w:t>
      </w:r>
    </w:p>
    <w:p w14:paraId="7E137680" w14:textId="64401665"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2.基金财产清算小组组成：基金财产清算小组成员由基金管理人、基金托管人、</w:t>
      </w:r>
      <w:r>
        <w:rPr>
          <w:rFonts w:hint="eastAsia"/>
          <w:bCs/>
          <w:color w:val="000000" w:themeColor="text1"/>
          <w:sz w:val="24"/>
        </w:rPr>
        <w:t>具有从事证券、期货相关业务资格的</w:t>
      </w:r>
      <w:r>
        <w:rPr>
          <w:rFonts w:ascii="宋体" w:hAnsi="宋体" w:cs="Arial"/>
          <w:color w:val="000000" w:themeColor="text1"/>
          <w:sz w:val="24"/>
        </w:rPr>
        <w:t>注册会计师、律师以及中国证监会指定的人员组成。基金财产清算小组可以聘用必要的工作人员。</w:t>
      </w:r>
    </w:p>
    <w:p w14:paraId="4BB619AA"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3.基金财产清算小组职责：基金财产清算小组负责基金财产的保管、清理、估价、变现和分配。基金财产清算小组可以依法进行必要的民事活动。</w:t>
      </w:r>
    </w:p>
    <w:p w14:paraId="240370B1"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4.基金财产清算程序：</w:t>
      </w:r>
    </w:p>
    <w:p w14:paraId="3306F94A"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(1)《基金合同》终止情形出现时，由基金财产清算小组统一接管基金；</w:t>
      </w:r>
    </w:p>
    <w:p w14:paraId="2D964E32"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(2)对基金财产和债权债务进行清理和确认；</w:t>
      </w:r>
    </w:p>
    <w:p w14:paraId="7A42A47C"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(3)对基金财产进行估值和变现；</w:t>
      </w:r>
    </w:p>
    <w:p w14:paraId="69AD1E7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(4)制作清算报告；</w:t>
      </w:r>
    </w:p>
    <w:p w14:paraId="3176609F"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(5)聘请会计师事务所对清算报告进行外部审计，聘请律师事务所对清算报告出具法律意见书；</w:t>
      </w:r>
    </w:p>
    <w:p w14:paraId="25657FBE"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(6)将清算报告报中国证监会备案并公告；</w:t>
      </w:r>
    </w:p>
    <w:p w14:paraId="41E2568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(7)对基金剩余财产进行分配。</w:t>
      </w:r>
    </w:p>
    <w:p w14:paraId="231EE704"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5.基金财产清算的期限为6</w:t>
      </w:r>
      <w:r>
        <w:rPr>
          <w:rFonts w:ascii="宋体" w:hAnsi="宋体" w:cs="Arial" w:hint="eastAsia"/>
          <w:color w:val="000000" w:themeColor="text1"/>
          <w:sz w:val="24"/>
        </w:rPr>
        <w:t>个月，但因本基金所持证券的流动性受到限制而不能及时变现的，清算期限相应顺延。</w:t>
      </w:r>
    </w:p>
    <w:p w14:paraId="73915A18"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6.清算费用</w:t>
      </w:r>
    </w:p>
    <w:p w14:paraId="2A3A3C2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清算费用是指基金财产清算小组在进行基金财产清算过程中发生的所有合理费用，清算费用由基金财产清算小组优先从基金剩余财产中支付。</w:t>
      </w:r>
    </w:p>
    <w:p w14:paraId="1722CB0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7.基金财产清算剩余资产的分配</w:t>
      </w:r>
    </w:p>
    <w:p w14:paraId="2CD3DF74"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lastRenderedPageBreak/>
        <w:t>依据基金财产清算的分配方案，将基金财产清算后的全部剩余资产扣除基金财产清算费用、交纳基金所欠税款并清偿基金债务后，按基金份额持有人持有的各类别基金份额比例进行分配。</w:t>
      </w:r>
    </w:p>
    <w:p w14:paraId="57302E0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8.基金财产清算的公告</w:t>
      </w:r>
    </w:p>
    <w:p w14:paraId="6E635215"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清算过程中的有关重大事项须及时公告；基金财产清算报告经符合《</w:t>
      </w:r>
      <w:r>
        <w:rPr>
          <w:rFonts w:hint="eastAsia"/>
          <w:bCs/>
          <w:color w:val="000000" w:themeColor="text1"/>
          <w:sz w:val="24"/>
        </w:rPr>
        <w:t>中华人民共和国证券法</w:t>
      </w:r>
      <w:r>
        <w:rPr>
          <w:rFonts w:ascii="宋体" w:hAnsi="宋体" w:cs="Arial" w:hint="eastAsia"/>
          <w:color w:val="000000" w:themeColor="text1"/>
          <w:sz w:val="24"/>
        </w:rPr>
        <w:t>》规定的会计师事务所审计并由律师事务所出具法律意见书后报中国证监会备案并公告。基金财产清算公告于基金财产清算报告报中国证监会备案后</w:t>
      </w:r>
      <w:r>
        <w:rPr>
          <w:rFonts w:ascii="宋体" w:hAnsi="宋体" w:cs="Arial"/>
          <w:color w:val="000000" w:themeColor="text1"/>
          <w:sz w:val="24"/>
        </w:rPr>
        <w:t>5</w:t>
      </w:r>
      <w:r>
        <w:rPr>
          <w:rFonts w:ascii="宋体" w:hAnsi="宋体" w:cs="Arial" w:hint="eastAsia"/>
          <w:color w:val="000000" w:themeColor="text1"/>
          <w:sz w:val="24"/>
        </w:rPr>
        <w:t>个工作日内由基金财产清算小组进行公告，基金财产清算小组应当将清算报告登载在规定网站上，并将清算报告提示性公告登载在规定报刊上。</w:t>
      </w:r>
    </w:p>
    <w:p w14:paraId="7350D3A8"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color w:val="000000" w:themeColor="text1"/>
          <w:sz w:val="24"/>
        </w:rPr>
        <w:t>9.基金财产清算账册及文件的保存</w:t>
      </w:r>
    </w:p>
    <w:p w14:paraId="7ED4C0C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基金财产清算账册及有关文件由基金托管人保存，保存</w:t>
      </w:r>
      <w:r>
        <w:rPr>
          <w:rFonts w:ascii="宋体" w:hAnsi="宋体" w:cs="Arial" w:hint="eastAsia"/>
          <w:bCs/>
          <w:color w:val="000000" w:themeColor="text1"/>
          <w:sz w:val="24"/>
        </w:rPr>
        <w:t>年限</w:t>
      </w:r>
      <w:r>
        <w:rPr>
          <w:rFonts w:ascii="宋体" w:hAnsi="宋体" w:cs="Arial" w:hint="eastAsia"/>
          <w:color w:val="000000" w:themeColor="text1"/>
          <w:sz w:val="24"/>
        </w:rPr>
        <w:t>按照法律法规的规定执行。</w:t>
      </w:r>
    </w:p>
    <w:p w14:paraId="42F3752B" w14:textId="77777777" w:rsidR="00DF5F45" w:rsidRDefault="00153BE1">
      <w:pPr>
        <w:adjustRightInd w:val="0"/>
        <w:snapToGrid w:val="0"/>
        <w:spacing w:line="360" w:lineRule="auto"/>
        <w:ind w:firstLineChars="200" w:firstLine="480"/>
        <w:rPr>
          <w:rFonts w:ascii="宋体" w:hAnsi="宋体" w:cs="Arial"/>
          <w:bCs/>
          <w:color w:val="000000" w:themeColor="text1"/>
          <w:sz w:val="24"/>
        </w:rPr>
      </w:pPr>
      <w:r>
        <w:rPr>
          <w:rFonts w:ascii="宋体" w:hAnsi="宋体" w:cs="Arial"/>
          <w:color w:val="000000" w:themeColor="text1"/>
          <w:sz w:val="24"/>
        </w:rPr>
        <w:t>10.</w:t>
      </w:r>
      <w:r>
        <w:rPr>
          <w:rFonts w:ascii="宋体" w:hAnsi="宋体" w:cs="Arial" w:hint="eastAsia"/>
          <w:bCs/>
          <w:color w:val="000000" w:themeColor="text1"/>
          <w:sz w:val="24"/>
        </w:rPr>
        <w:t>基金合并方案</w:t>
      </w:r>
    </w:p>
    <w:p w14:paraId="10E2D05C"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bCs/>
          <w:color w:val="000000" w:themeColor="text1"/>
          <w:sz w:val="24"/>
        </w:rPr>
        <w:t>本基金与其他基金的合并应当按照法律法规规定的程序进行。</w:t>
      </w:r>
    </w:p>
    <w:bookmarkEnd w:id="100"/>
    <w:p w14:paraId="686015D0" w14:textId="77777777" w:rsidR="00DF5F45" w:rsidRDefault="00DF5F45">
      <w:pPr>
        <w:adjustRightInd w:val="0"/>
        <w:snapToGrid w:val="0"/>
        <w:spacing w:line="360" w:lineRule="auto"/>
        <w:rPr>
          <w:rFonts w:ascii="宋体" w:hAnsi="宋体" w:cs="Arial"/>
          <w:color w:val="000000" w:themeColor="text1"/>
          <w:sz w:val="24"/>
        </w:rPr>
      </w:pPr>
    </w:p>
    <w:p w14:paraId="4931B5D6" w14:textId="77777777" w:rsidR="00DF5F45" w:rsidRDefault="00153BE1">
      <w:pPr>
        <w:pStyle w:val="2"/>
        <w:spacing w:line="360" w:lineRule="auto"/>
        <w:jc w:val="center"/>
        <w:rPr>
          <w:rFonts w:ascii="宋体" w:eastAsia="宋体" w:hAnsi="宋体"/>
          <w:color w:val="000000" w:themeColor="text1"/>
          <w:sz w:val="30"/>
        </w:rPr>
      </w:pPr>
      <w:bookmarkStart w:id="101" w:name="_Toc124325901"/>
      <w:r>
        <w:rPr>
          <w:rFonts w:ascii="宋体" w:eastAsia="宋体" w:hAnsi="宋体" w:hint="eastAsia"/>
          <w:color w:val="000000" w:themeColor="text1"/>
          <w:sz w:val="30"/>
        </w:rPr>
        <w:t>十七、违约责任</w:t>
      </w:r>
      <w:bookmarkEnd w:id="101"/>
    </w:p>
    <w:p w14:paraId="1319B474"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（一）基金管理人、基金托管人不履行本协议或履行本协议不符合约定的，应当承担违约责任。</w:t>
      </w:r>
    </w:p>
    <w:p w14:paraId="5C2C7438"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二）基金管理人、基金托管人在履行各自职责的过程中，违反《基金法》等法律法规的规定或者《基金合同》和本托管协议约定，给基金财产或者基金份额持有人造成损害的，应当分别对各自的行为依法承担赔偿责任；</w:t>
      </w:r>
      <w:bookmarkStart w:id="102" w:name="OLE_LINK22"/>
      <w:bookmarkStart w:id="103" w:name="OLE_LINK23"/>
      <w:r>
        <w:rPr>
          <w:rFonts w:ascii="宋体" w:hAnsi="宋体" w:cs="Arial" w:hint="eastAsia"/>
          <w:color w:val="000000" w:themeColor="text1"/>
          <w:sz w:val="24"/>
        </w:rPr>
        <w:t>因共同行为给基金财产或者基金份额持有人造成损害的，应当承担连带赔偿责任，对损失的赔偿，仅限于直接损失</w:t>
      </w:r>
      <w:bookmarkEnd w:id="102"/>
      <w:bookmarkEnd w:id="103"/>
      <w:r>
        <w:rPr>
          <w:rFonts w:ascii="宋体" w:hAnsi="宋体" w:cs="Arial" w:hint="eastAsia"/>
          <w:color w:val="000000" w:themeColor="text1"/>
          <w:sz w:val="24"/>
        </w:rPr>
        <w:t>。</w:t>
      </w:r>
    </w:p>
    <w:p w14:paraId="599DE7CD"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19D27D17"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1.</w:t>
      </w:r>
      <w:r>
        <w:rPr>
          <w:rFonts w:ascii="宋体" w:hAnsi="宋体" w:cs="Arial" w:hint="eastAsia"/>
          <w:color w:val="000000" w:themeColor="text1"/>
          <w:sz w:val="24"/>
        </w:rPr>
        <w:t>不可抗力；</w:t>
      </w:r>
    </w:p>
    <w:p w14:paraId="3B15981F"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color w:val="000000" w:themeColor="text1"/>
          <w:sz w:val="24"/>
        </w:rPr>
        <w:t>2.</w:t>
      </w:r>
      <w:r>
        <w:rPr>
          <w:rFonts w:ascii="宋体" w:hAnsi="宋体" w:cs="Arial" w:hint="eastAsia"/>
          <w:color w:val="000000" w:themeColor="text1"/>
          <w:sz w:val="24"/>
        </w:rPr>
        <w:t>基金管理人和</w:t>
      </w:r>
      <w:r>
        <w:rPr>
          <w:rFonts w:ascii="宋体" w:hAnsi="宋体" w:cs="Arial"/>
          <w:color w:val="000000" w:themeColor="text1"/>
          <w:sz w:val="24"/>
        </w:rPr>
        <w:t>/</w:t>
      </w:r>
      <w:r>
        <w:rPr>
          <w:rFonts w:ascii="宋体" w:hAnsi="宋体" w:cs="Arial" w:hint="eastAsia"/>
          <w:color w:val="000000" w:themeColor="text1"/>
          <w:sz w:val="24"/>
        </w:rPr>
        <w:t>或基金托管人按照中国证监会的规定或当时有效的法律、法</w:t>
      </w:r>
      <w:r>
        <w:rPr>
          <w:rFonts w:ascii="宋体" w:hAnsi="宋体" w:cs="Arial" w:hint="eastAsia"/>
          <w:color w:val="000000" w:themeColor="text1"/>
          <w:sz w:val="24"/>
        </w:rPr>
        <w:lastRenderedPageBreak/>
        <w:t>规或规章、市场交易规则的作为或不作为而造成的损失等；</w:t>
      </w:r>
    </w:p>
    <w:p w14:paraId="4679C304"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3</w:t>
      </w:r>
      <w:r>
        <w:rPr>
          <w:rFonts w:ascii="宋体" w:hAnsi="宋体" w:cs="Arial"/>
          <w:color w:val="000000" w:themeColor="text1"/>
          <w:sz w:val="24"/>
        </w:rPr>
        <w:t>.</w:t>
      </w:r>
      <w:r>
        <w:rPr>
          <w:rFonts w:hint="eastAsia"/>
          <w:color w:val="000000" w:themeColor="text1"/>
        </w:rPr>
        <w:t xml:space="preserve"> </w:t>
      </w:r>
      <w:r>
        <w:rPr>
          <w:rFonts w:ascii="宋体" w:hAnsi="宋体" w:cs="Arial" w:hint="eastAsia"/>
          <w:color w:val="000000" w:themeColor="text1"/>
          <w:sz w:val="24"/>
        </w:rPr>
        <w:t>在没有过错的情况下，基金管理人由于按照基金合同规定的投资原则行使或不行使其投资权所造成的损失等。</w:t>
      </w:r>
    </w:p>
    <w:p w14:paraId="23B546E8"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7C6DEF58"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（五）违约行为虽已发生，但本托管协议能够继续履行的，在最大限度地保护基金份额持有人利益的前提下，基金管理人和基金托管人应当继续履行本协议。</w:t>
      </w:r>
    </w:p>
    <w:p w14:paraId="20840499" w14:textId="77777777" w:rsidR="00DF5F45" w:rsidRDefault="00153BE1">
      <w:pPr>
        <w:pStyle w:val="a0"/>
        <w:adjustRightInd w:val="0"/>
        <w:snapToGrid w:val="0"/>
        <w:spacing w:line="360" w:lineRule="auto"/>
        <w:ind w:firstLine="480"/>
        <w:rPr>
          <w:rFonts w:ascii="宋体" w:hAnsi="宋体" w:cs="Arial"/>
          <w:color w:val="000000" w:themeColor="text1"/>
          <w:sz w:val="24"/>
        </w:rPr>
      </w:pPr>
      <w:r>
        <w:rPr>
          <w:rFonts w:ascii="宋体" w:hAnsi="宋体" w:cs="Arial" w:hint="eastAsia"/>
          <w:color w:val="000000" w:themeColor="text1"/>
          <w:sz w:val="24"/>
        </w:rPr>
        <w:t>（六）由于基金管理人、基金托管人不可控制的因素导致业务出现差错，基金管理人和基金托管人虽然已经采取必要、适当、合理的措施进行检查，但是未能发现错误或因前述原因未能避免或更正错误的，由此造成基金财产或投资人损失，基金管理人和基金托管人免除赔偿责任。但是基金管理人和基金托管人应积极采取必要的措施减轻或消除由此造成的影响。</w:t>
      </w:r>
    </w:p>
    <w:p w14:paraId="03B11E5A" w14:textId="77777777" w:rsidR="00DF5F45" w:rsidRDefault="00DF5F45">
      <w:pPr>
        <w:pStyle w:val="a0"/>
        <w:adjustRightInd w:val="0"/>
        <w:snapToGrid w:val="0"/>
        <w:spacing w:line="360" w:lineRule="auto"/>
        <w:ind w:firstLine="480"/>
        <w:rPr>
          <w:rFonts w:ascii="宋体" w:hAnsi="宋体" w:cs="Arial"/>
          <w:color w:val="000000" w:themeColor="text1"/>
          <w:sz w:val="24"/>
        </w:rPr>
      </w:pPr>
    </w:p>
    <w:p w14:paraId="3CE62216" w14:textId="77777777" w:rsidR="00DF5F45" w:rsidRDefault="00153BE1">
      <w:pPr>
        <w:pStyle w:val="2"/>
        <w:spacing w:line="360" w:lineRule="auto"/>
        <w:jc w:val="center"/>
        <w:rPr>
          <w:rFonts w:ascii="宋体" w:eastAsia="宋体" w:hAnsi="宋体"/>
          <w:color w:val="000000" w:themeColor="text1"/>
          <w:sz w:val="30"/>
        </w:rPr>
      </w:pPr>
      <w:bookmarkStart w:id="104" w:name="_Toc124325902"/>
      <w:r>
        <w:rPr>
          <w:rFonts w:ascii="宋体" w:eastAsia="宋体" w:hAnsi="宋体" w:hint="eastAsia"/>
          <w:color w:val="000000" w:themeColor="text1"/>
          <w:sz w:val="30"/>
        </w:rPr>
        <w:t>十八、争议解决方式</w:t>
      </w:r>
      <w:bookmarkEnd w:id="104"/>
    </w:p>
    <w:p w14:paraId="63B67317"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因本协议产生或与之相关的争议，双方当事人应通过协商、调解解决，协商、调解不能解决的，任何一方均有权将争议提交中国国际经济贸易仲裁委员会，仲裁地点为北京市，按照该会届时有效的仲裁规则进行仲裁。仲裁裁决是终局的，对双方当事人均有约束力。</w:t>
      </w:r>
      <w:bookmarkStart w:id="105" w:name="_Hlk174705462"/>
      <w:r>
        <w:rPr>
          <w:rFonts w:ascii="宋体" w:hAnsi="宋体" w:cs="Arial" w:hint="eastAsia"/>
          <w:color w:val="000000" w:themeColor="text1"/>
          <w:sz w:val="24"/>
        </w:rPr>
        <w:t>除非仲裁裁决另有规定，</w:t>
      </w:r>
      <w:bookmarkEnd w:id="105"/>
      <w:r>
        <w:rPr>
          <w:rFonts w:ascii="宋体" w:hAnsi="宋体" w:cs="Arial" w:hint="eastAsia"/>
          <w:color w:val="000000" w:themeColor="text1"/>
          <w:sz w:val="24"/>
        </w:rPr>
        <w:t>仲裁费用由败诉方承担。</w:t>
      </w:r>
    </w:p>
    <w:p w14:paraId="696A3609"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争议处理期间，双方当事人应恪守基金管理人和基金托管人职责，各自继续忠实、勤勉、尽责地履行《基金合同》和本托管协议规定的义务，维护基金份额持有人的合法权益。</w:t>
      </w:r>
    </w:p>
    <w:p w14:paraId="2AA7DAB3"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本协议受中国法律（为本协议之目的，在此不包括香港、澳门特别行政区和台湾地区法律）管辖并从其解释。</w:t>
      </w:r>
    </w:p>
    <w:p w14:paraId="047DE04B" w14:textId="77777777" w:rsidR="00DF5F45" w:rsidRDefault="00DF5F45">
      <w:pPr>
        <w:adjustRightInd w:val="0"/>
        <w:snapToGrid w:val="0"/>
        <w:spacing w:line="360" w:lineRule="auto"/>
        <w:rPr>
          <w:rFonts w:ascii="宋体" w:hAnsi="宋体" w:cs="Arial"/>
          <w:color w:val="000000" w:themeColor="text1"/>
          <w:sz w:val="24"/>
        </w:rPr>
      </w:pPr>
    </w:p>
    <w:p w14:paraId="6C1259DC" w14:textId="77777777" w:rsidR="00DF5F45" w:rsidRDefault="00153BE1">
      <w:pPr>
        <w:pStyle w:val="2"/>
        <w:spacing w:line="360" w:lineRule="auto"/>
        <w:jc w:val="center"/>
        <w:rPr>
          <w:rFonts w:ascii="宋体" w:eastAsia="宋体" w:hAnsi="宋体"/>
          <w:color w:val="000000" w:themeColor="text1"/>
          <w:sz w:val="30"/>
        </w:rPr>
      </w:pPr>
      <w:bookmarkStart w:id="106" w:name="_Toc124325903"/>
      <w:r>
        <w:rPr>
          <w:rFonts w:ascii="宋体" w:eastAsia="宋体" w:hAnsi="宋体" w:hint="eastAsia"/>
          <w:color w:val="000000" w:themeColor="text1"/>
          <w:sz w:val="30"/>
        </w:rPr>
        <w:t>十九、托管协议的效力</w:t>
      </w:r>
      <w:bookmarkEnd w:id="106"/>
    </w:p>
    <w:p w14:paraId="170E4B1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双方对托管协议的效力约定如下：</w:t>
      </w:r>
    </w:p>
    <w:p w14:paraId="1A63F9C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lastRenderedPageBreak/>
        <w:t>（一）基金管理人在向中国证监会申请基金募集注册时提交的托管协议草案，应经托管协议当事人双方加盖公章或合同专用章以及双方法定代表人或授权代表签字（或盖章），协议当事人双方根据中国证监会的意见修改托管协议草案。托管协议以中国证监会注册的文本为正式文本。</w:t>
      </w:r>
    </w:p>
    <w:p w14:paraId="08728FF4"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（二）托管协议自《基金合同》成立之日起成立，自《基金合同》生效之日起生效。托管协议的有效期自其生效之日起至基金财产清算结果报中国证监会备案并公告之日止。</w:t>
      </w:r>
    </w:p>
    <w:p w14:paraId="2E0947C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（三）托管协议自生效之日起对托管协议当事人具有同等的法律约束力。</w:t>
      </w:r>
    </w:p>
    <w:p w14:paraId="35126EDC" w14:textId="77777777" w:rsidR="00DF5F45" w:rsidRDefault="00153BE1">
      <w:pPr>
        <w:adjustRightInd w:val="0"/>
        <w:snapToGrid w:val="0"/>
        <w:spacing w:line="360" w:lineRule="auto"/>
        <w:ind w:firstLineChars="200" w:firstLine="480"/>
        <w:rPr>
          <w:rFonts w:ascii="宋体" w:hAnsi="宋体"/>
          <w:color w:val="000000" w:themeColor="text1"/>
          <w:sz w:val="30"/>
          <w:szCs w:val="30"/>
        </w:rPr>
      </w:pPr>
      <w:r>
        <w:rPr>
          <w:rFonts w:ascii="宋体" w:hAnsi="宋体" w:cs="Arial" w:hint="eastAsia"/>
          <w:color w:val="000000" w:themeColor="text1"/>
          <w:sz w:val="24"/>
        </w:rPr>
        <w:t>（四）本协议一式六份，协议双方各持二份，上报监管机构二份，每份具有同等的法律效力。</w:t>
      </w:r>
    </w:p>
    <w:p w14:paraId="1F33CD28" w14:textId="77777777" w:rsidR="00DF5F45" w:rsidRDefault="00DF5F45">
      <w:pPr>
        <w:adjustRightInd w:val="0"/>
        <w:snapToGrid w:val="0"/>
        <w:spacing w:line="360" w:lineRule="auto"/>
        <w:rPr>
          <w:rFonts w:ascii="宋体" w:hAnsi="宋体" w:cs="Arial"/>
          <w:color w:val="000000" w:themeColor="text1"/>
          <w:sz w:val="24"/>
        </w:rPr>
      </w:pPr>
    </w:p>
    <w:p w14:paraId="21524C34" w14:textId="77777777" w:rsidR="00DF5F45" w:rsidRDefault="00153BE1">
      <w:pPr>
        <w:pStyle w:val="2"/>
        <w:spacing w:line="360" w:lineRule="auto"/>
        <w:jc w:val="center"/>
        <w:rPr>
          <w:rFonts w:ascii="宋体" w:eastAsia="宋体" w:hAnsi="宋体"/>
          <w:color w:val="000000" w:themeColor="text1"/>
          <w:sz w:val="30"/>
        </w:rPr>
      </w:pPr>
      <w:bookmarkStart w:id="107" w:name="_Toc124325904"/>
      <w:r>
        <w:rPr>
          <w:rFonts w:ascii="宋体" w:eastAsia="宋体" w:hAnsi="宋体" w:hint="eastAsia"/>
          <w:color w:val="000000" w:themeColor="text1"/>
          <w:sz w:val="30"/>
        </w:rPr>
        <w:t>二十、其他事项</w:t>
      </w:r>
      <w:bookmarkEnd w:id="107"/>
    </w:p>
    <w:p w14:paraId="6D42241B"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如发生有权司法机关依法冻结基金份额持有人的基金份额时，基金管理人应予以配合，承担司法协助义务。</w:t>
      </w:r>
    </w:p>
    <w:p w14:paraId="1D700903"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除本协议有明确定义外，本协议的用语定义适用《基金合同》的约定。本协议未尽事宜，当事人依据《基金合同》、有关法律法规等规定协商办理。</w:t>
      </w:r>
    </w:p>
    <w:p w14:paraId="6E166C76" w14:textId="77777777" w:rsidR="00DF5F45" w:rsidRDefault="00DF5F45">
      <w:pPr>
        <w:adjustRightInd w:val="0"/>
        <w:snapToGrid w:val="0"/>
        <w:spacing w:line="360" w:lineRule="auto"/>
        <w:rPr>
          <w:rFonts w:ascii="宋体" w:hAnsi="宋体"/>
          <w:b/>
          <w:bCs/>
          <w:color w:val="000000" w:themeColor="text1"/>
        </w:rPr>
      </w:pPr>
    </w:p>
    <w:p w14:paraId="6D4BE9CB" w14:textId="77777777" w:rsidR="00DF5F45" w:rsidRDefault="00153BE1">
      <w:pPr>
        <w:pStyle w:val="2"/>
        <w:spacing w:line="360" w:lineRule="auto"/>
        <w:jc w:val="center"/>
        <w:rPr>
          <w:rFonts w:ascii="宋体" w:eastAsia="宋体" w:hAnsi="宋体"/>
          <w:color w:val="000000" w:themeColor="text1"/>
          <w:sz w:val="30"/>
        </w:rPr>
      </w:pPr>
      <w:bookmarkStart w:id="108" w:name="_Toc124325905"/>
      <w:r>
        <w:rPr>
          <w:rFonts w:ascii="宋体" w:eastAsia="宋体" w:hAnsi="宋体" w:hint="eastAsia"/>
          <w:color w:val="000000" w:themeColor="text1"/>
          <w:sz w:val="30"/>
        </w:rPr>
        <w:t>二十一、托管协议的签订</w:t>
      </w:r>
      <w:bookmarkEnd w:id="108"/>
    </w:p>
    <w:p w14:paraId="14550590" w14:textId="77777777" w:rsidR="00DF5F45" w:rsidRDefault="00153BE1">
      <w:pPr>
        <w:adjustRightInd w:val="0"/>
        <w:snapToGrid w:val="0"/>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本协议双方法定代表人或授权代表签章、签订地、签订日。</w:t>
      </w:r>
    </w:p>
    <w:p w14:paraId="1CC31FAF" w14:textId="77777777" w:rsidR="00DF5F45" w:rsidRDefault="00DF5F45">
      <w:pPr>
        <w:adjustRightInd w:val="0"/>
        <w:snapToGrid w:val="0"/>
        <w:spacing w:line="360" w:lineRule="auto"/>
        <w:ind w:firstLineChars="200" w:firstLine="480"/>
        <w:rPr>
          <w:rFonts w:ascii="宋体" w:hAnsi="宋体" w:cs="Arial"/>
          <w:color w:val="000000" w:themeColor="text1"/>
          <w:sz w:val="24"/>
        </w:rPr>
      </w:pPr>
    </w:p>
    <w:p w14:paraId="04A34329" w14:textId="77777777" w:rsidR="00DF5F45" w:rsidRDefault="00DF5F45">
      <w:pPr>
        <w:adjustRightInd w:val="0"/>
        <w:snapToGrid w:val="0"/>
        <w:spacing w:line="360" w:lineRule="auto"/>
        <w:ind w:firstLineChars="200" w:firstLine="480"/>
        <w:rPr>
          <w:rFonts w:ascii="宋体" w:hAnsi="宋体" w:cs="Arial"/>
          <w:color w:val="000000" w:themeColor="text1"/>
          <w:sz w:val="24"/>
        </w:rPr>
      </w:pPr>
    </w:p>
    <w:p w14:paraId="6AA2378F" w14:textId="77777777" w:rsidR="00DF5F45" w:rsidRDefault="00153BE1">
      <w:pPr>
        <w:adjustRightInd w:val="0"/>
        <w:snapToGrid w:val="0"/>
        <w:spacing w:line="360" w:lineRule="auto"/>
        <w:ind w:firstLineChars="200" w:firstLine="480"/>
        <w:rPr>
          <w:rFonts w:ascii="宋体" w:hAnsi="宋体" w:cs="Arial"/>
          <w:color w:val="000000" w:themeColor="text1"/>
          <w:sz w:val="24"/>
        </w:rPr>
        <w:sectPr w:rsidR="00DF5F45" w:rsidSect="00A52E90">
          <w:headerReference w:type="default" r:id="rId9"/>
          <w:footerReference w:type="default" r:id="rId10"/>
          <w:pgSz w:w="11906" w:h="16838"/>
          <w:pgMar w:top="1418" w:right="1701" w:bottom="1418" w:left="1701" w:header="851" w:footer="992" w:gutter="0"/>
          <w:pgNumType w:start="1"/>
          <w:cols w:space="720"/>
          <w:docGrid w:type="lines" w:linePitch="312"/>
        </w:sectPr>
      </w:pPr>
      <w:r>
        <w:rPr>
          <w:rFonts w:ascii="宋体" w:hAnsi="宋体" w:cs="Arial" w:hint="eastAsia"/>
          <w:color w:val="000000" w:themeColor="text1"/>
          <w:sz w:val="24"/>
        </w:rPr>
        <w:t>（以下无正文）</w:t>
      </w:r>
    </w:p>
    <w:p w14:paraId="6C3A4B67" w14:textId="0D8564AD" w:rsidR="00DF5F45" w:rsidRDefault="00153BE1">
      <w:pPr>
        <w:spacing w:line="360" w:lineRule="auto"/>
        <w:ind w:right="26"/>
        <w:rPr>
          <w:rFonts w:ascii="宋体" w:hAnsi="宋体"/>
          <w:color w:val="000000" w:themeColor="text1"/>
          <w:sz w:val="24"/>
        </w:rPr>
      </w:pPr>
      <w:r>
        <w:rPr>
          <w:rFonts w:ascii="宋体" w:hAnsi="宋体" w:hint="eastAsia"/>
          <w:color w:val="000000" w:themeColor="text1"/>
          <w:sz w:val="24"/>
        </w:rPr>
        <w:lastRenderedPageBreak/>
        <w:t>本页无正文，为《浦银新材料混合型发起式证券投资基金托管协议》的签字盖章页。</w:t>
      </w:r>
    </w:p>
    <w:p w14:paraId="136BA22F" w14:textId="77777777" w:rsidR="00DF5F45" w:rsidRDefault="00DF5F45">
      <w:pPr>
        <w:spacing w:line="360" w:lineRule="auto"/>
        <w:rPr>
          <w:rFonts w:ascii="宋体" w:hAnsi="宋体"/>
          <w:color w:val="000000" w:themeColor="text1"/>
          <w:sz w:val="24"/>
        </w:rPr>
      </w:pPr>
    </w:p>
    <w:p w14:paraId="2339B0FB" w14:textId="77777777" w:rsidR="00DF5F45" w:rsidRDefault="00DF5F45">
      <w:pPr>
        <w:spacing w:line="360" w:lineRule="auto"/>
        <w:rPr>
          <w:rFonts w:ascii="宋体" w:hAnsi="宋体"/>
          <w:color w:val="000000" w:themeColor="text1"/>
          <w:sz w:val="24"/>
        </w:rPr>
      </w:pPr>
    </w:p>
    <w:p w14:paraId="774740BB" w14:textId="77777777" w:rsidR="00DF5F45" w:rsidRDefault="00DF5F45">
      <w:pPr>
        <w:spacing w:line="360" w:lineRule="auto"/>
        <w:rPr>
          <w:rFonts w:ascii="宋体" w:hAnsi="宋体"/>
          <w:color w:val="000000" w:themeColor="text1"/>
          <w:sz w:val="24"/>
        </w:rPr>
      </w:pPr>
    </w:p>
    <w:p w14:paraId="038B44F1" w14:textId="5173FD17" w:rsidR="00DF5F45" w:rsidRDefault="00153BE1">
      <w:pPr>
        <w:spacing w:line="360" w:lineRule="auto"/>
        <w:ind w:right="26"/>
        <w:rPr>
          <w:rFonts w:ascii="宋体" w:hAnsi="宋体"/>
          <w:color w:val="000000" w:themeColor="text1"/>
          <w:sz w:val="24"/>
        </w:rPr>
      </w:pPr>
      <w:r>
        <w:rPr>
          <w:rFonts w:ascii="宋体" w:hAnsi="宋体" w:hint="eastAsia"/>
          <w:color w:val="000000" w:themeColor="text1"/>
          <w:sz w:val="24"/>
        </w:rPr>
        <w:t>基金管理人：</w:t>
      </w:r>
      <w:r w:rsidR="00850743">
        <w:rPr>
          <w:rFonts w:ascii="宋体" w:hAnsi="宋体" w:hint="eastAsia"/>
          <w:color w:val="000000" w:themeColor="text1"/>
          <w:sz w:val="24"/>
        </w:rPr>
        <w:t>浦银基金</w:t>
      </w:r>
      <w:r>
        <w:rPr>
          <w:rFonts w:ascii="宋体" w:hAnsi="宋体" w:hint="eastAsia"/>
          <w:color w:val="000000" w:themeColor="text1"/>
          <w:sz w:val="24"/>
        </w:rPr>
        <w:t>管理有限公司（盖章）</w:t>
      </w:r>
    </w:p>
    <w:p w14:paraId="10E08089" w14:textId="77777777" w:rsidR="00DF5F45" w:rsidRDefault="00DF5F45">
      <w:pPr>
        <w:spacing w:line="360" w:lineRule="auto"/>
        <w:ind w:right="26"/>
        <w:rPr>
          <w:rFonts w:ascii="宋体" w:hAnsi="宋体"/>
          <w:color w:val="000000" w:themeColor="text1"/>
          <w:sz w:val="24"/>
        </w:rPr>
      </w:pPr>
    </w:p>
    <w:p w14:paraId="0FAFB6FA" w14:textId="77777777" w:rsidR="00DF5F45" w:rsidRDefault="00DF5F45">
      <w:pPr>
        <w:spacing w:line="360" w:lineRule="auto"/>
        <w:ind w:right="26"/>
        <w:rPr>
          <w:rFonts w:ascii="宋体" w:hAnsi="宋体"/>
          <w:color w:val="000000" w:themeColor="text1"/>
          <w:sz w:val="24"/>
        </w:rPr>
      </w:pPr>
    </w:p>
    <w:p w14:paraId="630B58EE" w14:textId="77777777" w:rsidR="00DF5F45" w:rsidRDefault="00DF5F45">
      <w:pPr>
        <w:spacing w:line="360" w:lineRule="auto"/>
        <w:ind w:right="26"/>
        <w:rPr>
          <w:rFonts w:ascii="宋体" w:hAnsi="宋体"/>
          <w:color w:val="000000" w:themeColor="text1"/>
          <w:sz w:val="24"/>
        </w:rPr>
      </w:pPr>
    </w:p>
    <w:p w14:paraId="455F8092" w14:textId="77777777" w:rsidR="00DF5F45" w:rsidRDefault="00DF5F45">
      <w:pPr>
        <w:spacing w:line="360" w:lineRule="auto"/>
        <w:ind w:right="26"/>
        <w:rPr>
          <w:rFonts w:ascii="宋体" w:hAnsi="宋体"/>
          <w:color w:val="000000" w:themeColor="text1"/>
          <w:sz w:val="24"/>
        </w:rPr>
      </w:pPr>
    </w:p>
    <w:p w14:paraId="7BD44045" w14:textId="77777777" w:rsidR="00DF5F45" w:rsidRDefault="00153BE1">
      <w:pPr>
        <w:spacing w:line="360" w:lineRule="auto"/>
        <w:ind w:right="26"/>
        <w:rPr>
          <w:rFonts w:ascii="宋体" w:hAnsi="宋体"/>
          <w:color w:val="000000" w:themeColor="text1"/>
          <w:sz w:val="24"/>
        </w:rPr>
      </w:pPr>
      <w:r>
        <w:rPr>
          <w:rFonts w:ascii="宋体" w:hAnsi="宋体" w:hint="eastAsia"/>
          <w:color w:val="000000" w:themeColor="text1"/>
          <w:sz w:val="24"/>
        </w:rPr>
        <w:t xml:space="preserve">法定代表人或授权代表：                   </w:t>
      </w:r>
    </w:p>
    <w:p w14:paraId="18B2921A" w14:textId="77777777" w:rsidR="00DF5F45" w:rsidRDefault="00DF5F45">
      <w:pPr>
        <w:spacing w:line="360" w:lineRule="auto"/>
        <w:ind w:right="26"/>
        <w:rPr>
          <w:rFonts w:ascii="宋体" w:hAnsi="宋体"/>
          <w:color w:val="000000" w:themeColor="text1"/>
          <w:sz w:val="24"/>
        </w:rPr>
      </w:pPr>
    </w:p>
    <w:p w14:paraId="159BACD1" w14:textId="77777777" w:rsidR="00DF5F45" w:rsidRDefault="00DF5F45">
      <w:pPr>
        <w:spacing w:line="360" w:lineRule="auto"/>
        <w:ind w:right="26"/>
        <w:rPr>
          <w:rFonts w:ascii="宋体" w:hAnsi="宋体"/>
          <w:color w:val="000000" w:themeColor="text1"/>
          <w:sz w:val="24"/>
        </w:rPr>
      </w:pPr>
    </w:p>
    <w:p w14:paraId="10417857" w14:textId="77777777" w:rsidR="00DF5F45" w:rsidRDefault="00DF5F45">
      <w:pPr>
        <w:spacing w:line="360" w:lineRule="auto"/>
        <w:ind w:right="26"/>
        <w:rPr>
          <w:rFonts w:ascii="宋体" w:hAnsi="宋体"/>
          <w:color w:val="000000" w:themeColor="text1"/>
          <w:sz w:val="24"/>
        </w:rPr>
      </w:pPr>
    </w:p>
    <w:p w14:paraId="3AB24DBD" w14:textId="77777777" w:rsidR="00DF5F45" w:rsidRDefault="00DF5F45">
      <w:pPr>
        <w:spacing w:line="360" w:lineRule="auto"/>
        <w:ind w:right="26"/>
        <w:rPr>
          <w:rFonts w:ascii="宋体" w:hAnsi="宋体"/>
          <w:color w:val="000000" w:themeColor="text1"/>
          <w:sz w:val="24"/>
        </w:rPr>
      </w:pPr>
    </w:p>
    <w:p w14:paraId="655D24F9" w14:textId="77777777" w:rsidR="00DF5F45" w:rsidRDefault="00DF5F45">
      <w:pPr>
        <w:spacing w:line="360" w:lineRule="auto"/>
        <w:ind w:right="26"/>
        <w:rPr>
          <w:rFonts w:ascii="宋体" w:hAnsi="宋体"/>
          <w:color w:val="000000" w:themeColor="text1"/>
          <w:sz w:val="24"/>
        </w:rPr>
      </w:pPr>
    </w:p>
    <w:p w14:paraId="41605214" w14:textId="77777777" w:rsidR="00DF5F45" w:rsidRDefault="00153BE1">
      <w:pPr>
        <w:spacing w:line="360" w:lineRule="auto"/>
        <w:ind w:right="26"/>
        <w:rPr>
          <w:rFonts w:ascii="宋体" w:hAnsi="宋体"/>
          <w:color w:val="000000" w:themeColor="text1"/>
          <w:sz w:val="24"/>
        </w:rPr>
      </w:pPr>
      <w:r>
        <w:rPr>
          <w:rFonts w:ascii="宋体" w:hAnsi="宋体" w:hint="eastAsia"/>
          <w:color w:val="000000" w:themeColor="text1"/>
          <w:sz w:val="24"/>
        </w:rPr>
        <w:t>基金托管人：中国建设银行股份有限公司（盖章）</w:t>
      </w:r>
    </w:p>
    <w:p w14:paraId="27399924" w14:textId="77777777" w:rsidR="00DF5F45" w:rsidRDefault="00DF5F45">
      <w:pPr>
        <w:spacing w:line="360" w:lineRule="auto"/>
        <w:ind w:right="26"/>
        <w:rPr>
          <w:rFonts w:ascii="宋体" w:hAnsi="宋体"/>
          <w:color w:val="000000" w:themeColor="text1"/>
          <w:sz w:val="24"/>
        </w:rPr>
      </w:pPr>
    </w:p>
    <w:p w14:paraId="67B4C5AE" w14:textId="77777777" w:rsidR="00DF5F45" w:rsidRDefault="00DF5F45">
      <w:pPr>
        <w:spacing w:line="360" w:lineRule="auto"/>
        <w:ind w:right="26"/>
        <w:rPr>
          <w:rFonts w:ascii="宋体" w:hAnsi="宋体"/>
          <w:color w:val="000000" w:themeColor="text1"/>
          <w:sz w:val="24"/>
        </w:rPr>
      </w:pPr>
    </w:p>
    <w:p w14:paraId="1D10889E" w14:textId="77777777" w:rsidR="00DF5F45" w:rsidRDefault="00DF5F45">
      <w:pPr>
        <w:spacing w:line="360" w:lineRule="auto"/>
        <w:ind w:right="26"/>
        <w:rPr>
          <w:rFonts w:ascii="宋体" w:hAnsi="宋体"/>
          <w:color w:val="000000" w:themeColor="text1"/>
          <w:sz w:val="24"/>
        </w:rPr>
      </w:pPr>
    </w:p>
    <w:p w14:paraId="1E55D829" w14:textId="77777777" w:rsidR="00DF5F45" w:rsidRDefault="00DF5F45">
      <w:pPr>
        <w:spacing w:line="360" w:lineRule="auto"/>
        <w:ind w:right="26"/>
        <w:rPr>
          <w:rFonts w:ascii="宋体" w:hAnsi="宋体"/>
          <w:color w:val="000000" w:themeColor="text1"/>
          <w:sz w:val="24"/>
        </w:rPr>
      </w:pPr>
    </w:p>
    <w:p w14:paraId="5E5270AA" w14:textId="77777777" w:rsidR="00DF5F45" w:rsidRDefault="00153BE1">
      <w:pPr>
        <w:spacing w:line="360" w:lineRule="auto"/>
        <w:ind w:right="26"/>
        <w:rPr>
          <w:rFonts w:ascii="宋体" w:hAnsi="宋体"/>
          <w:color w:val="000000" w:themeColor="text1"/>
          <w:sz w:val="24"/>
        </w:rPr>
      </w:pPr>
      <w:r>
        <w:rPr>
          <w:rFonts w:ascii="宋体" w:hAnsi="宋体" w:hint="eastAsia"/>
          <w:color w:val="000000" w:themeColor="text1"/>
          <w:sz w:val="24"/>
        </w:rPr>
        <w:t xml:space="preserve">法定代表人或授权代表：                   </w:t>
      </w:r>
    </w:p>
    <w:p w14:paraId="1BB90672" w14:textId="77777777" w:rsidR="00DF5F45" w:rsidRDefault="00DF5F45">
      <w:pPr>
        <w:spacing w:line="360" w:lineRule="auto"/>
        <w:ind w:right="26"/>
        <w:rPr>
          <w:rFonts w:ascii="宋体" w:hAnsi="宋体"/>
          <w:b/>
          <w:color w:val="000000" w:themeColor="text1"/>
          <w:sz w:val="24"/>
          <w:szCs w:val="28"/>
        </w:rPr>
      </w:pPr>
    </w:p>
    <w:p w14:paraId="24391157" w14:textId="77777777" w:rsidR="00DF5F45" w:rsidRDefault="00DF5F45">
      <w:pPr>
        <w:spacing w:line="360" w:lineRule="auto"/>
        <w:ind w:right="26"/>
        <w:rPr>
          <w:rFonts w:ascii="宋体" w:hAnsi="宋体"/>
          <w:b/>
          <w:color w:val="000000" w:themeColor="text1"/>
          <w:sz w:val="24"/>
          <w:szCs w:val="28"/>
        </w:rPr>
      </w:pPr>
    </w:p>
    <w:p w14:paraId="3C5B0CD9" w14:textId="77777777" w:rsidR="00DF5F45" w:rsidRDefault="00DF5F45">
      <w:pPr>
        <w:spacing w:line="360" w:lineRule="auto"/>
        <w:ind w:right="26"/>
        <w:rPr>
          <w:rFonts w:ascii="宋体" w:hAnsi="宋体"/>
          <w:b/>
          <w:color w:val="000000" w:themeColor="text1"/>
          <w:sz w:val="24"/>
          <w:szCs w:val="28"/>
        </w:rPr>
      </w:pPr>
    </w:p>
    <w:p w14:paraId="0C08BD4C" w14:textId="77777777" w:rsidR="00DF5F45" w:rsidRDefault="00153BE1">
      <w:pPr>
        <w:spacing w:line="360" w:lineRule="auto"/>
        <w:ind w:right="26"/>
        <w:rPr>
          <w:rFonts w:ascii="宋体" w:hAnsi="宋体"/>
          <w:b/>
          <w:color w:val="000000" w:themeColor="text1"/>
          <w:sz w:val="24"/>
          <w:szCs w:val="28"/>
        </w:rPr>
      </w:pPr>
      <w:r>
        <w:rPr>
          <w:rFonts w:ascii="宋体" w:hAnsi="宋体" w:hint="eastAsia"/>
          <w:b/>
          <w:color w:val="000000" w:themeColor="text1"/>
          <w:sz w:val="24"/>
          <w:szCs w:val="28"/>
        </w:rPr>
        <w:t>签订地点：北京</w:t>
      </w:r>
    </w:p>
    <w:p w14:paraId="4652C5A1" w14:textId="77777777" w:rsidR="00DF5F45" w:rsidRDefault="00153BE1">
      <w:pPr>
        <w:spacing w:line="360" w:lineRule="auto"/>
        <w:ind w:right="26"/>
        <w:rPr>
          <w:rFonts w:ascii="宋体" w:hAnsi="宋体"/>
          <w:b/>
          <w:color w:val="000000" w:themeColor="text1"/>
          <w:sz w:val="24"/>
          <w:szCs w:val="28"/>
        </w:rPr>
      </w:pPr>
      <w:r>
        <w:rPr>
          <w:rFonts w:ascii="宋体" w:hAnsi="宋体" w:hint="eastAsia"/>
          <w:b/>
          <w:color w:val="000000" w:themeColor="text1"/>
          <w:sz w:val="24"/>
          <w:szCs w:val="28"/>
        </w:rPr>
        <w:t>签 订 日：二零二六年</w:t>
      </w:r>
      <w:r>
        <w:rPr>
          <w:rFonts w:ascii="宋体" w:hAnsi="宋体" w:cs="宋体" w:hint="eastAsia"/>
          <w:b/>
          <w:color w:val="000000" w:themeColor="text1"/>
          <w:sz w:val="24"/>
          <w:szCs w:val="28"/>
        </w:rPr>
        <w:t xml:space="preserve"> </w:t>
      </w:r>
      <w:r>
        <w:rPr>
          <w:rFonts w:ascii="宋体" w:hAnsi="宋体" w:hint="eastAsia"/>
          <w:b/>
          <w:color w:val="000000" w:themeColor="text1"/>
          <w:sz w:val="24"/>
          <w:szCs w:val="28"/>
        </w:rPr>
        <w:t>月</w:t>
      </w:r>
      <w:r>
        <w:rPr>
          <w:rFonts w:ascii="宋体" w:hAnsi="宋体" w:cs="宋体" w:hint="eastAsia"/>
          <w:b/>
          <w:color w:val="000000" w:themeColor="text1"/>
          <w:sz w:val="24"/>
          <w:szCs w:val="28"/>
        </w:rPr>
        <w:t xml:space="preserve"> </w:t>
      </w:r>
      <w:r>
        <w:rPr>
          <w:rFonts w:ascii="宋体" w:hAnsi="宋体" w:hint="eastAsia"/>
          <w:b/>
          <w:color w:val="000000" w:themeColor="text1"/>
          <w:sz w:val="24"/>
          <w:szCs w:val="28"/>
        </w:rPr>
        <w:t>日</w:t>
      </w:r>
    </w:p>
    <w:p w14:paraId="70749417" w14:textId="77777777" w:rsidR="00DF5F45" w:rsidRDefault="00DF5F45">
      <w:pPr>
        <w:adjustRightInd w:val="0"/>
        <w:snapToGrid w:val="0"/>
        <w:spacing w:line="360" w:lineRule="auto"/>
        <w:rPr>
          <w:rFonts w:ascii="宋体" w:hAnsi="宋体" w:cs="Arial"/>
          <w:color w:val="000000" w:themeColor="text1"/>
          <w:sz w:val="24"/>
        </w:rPr>
      </w:pPr>
    </w:p>
    <w:p w14:paraId="4362380E" w14:textId="77777777" w:rsidR="00DF5F45" w:rsidRDefault="00DF5F45">
      <w:pPr>
        <w:spacing w:line="360" w:lineRule="auto"/>
        <w:rPr>
          <w:rFonts w:ascii="宋体" w:hAnsi="宋体"/>
          <w:color w:val="000000" w:themeColor="text1"/>
        </w:rPr>
      </w:pPr>
    </w:p>
    <w:p w14:paraId="2A0D5B1C" w14:textId="77777777" w:rsidR="00DF5F45" w:rsidRDefault="00DF5F45">
      <w:pPr>
        <w:spacing w:line="360" w:lineRule="auto"/>
        <w:rPr>
          <w:rFonts w:ascii="宋体" w:hAnsi="宋体"/>
          <w:color w:val="000000" w:themeColor="text1"/>
        </w:rPr>
      </w:pPr>
    </w:p>
    <w:sectPr w:rsidR="00DF5F45">
      <w:headerReference w:type="default" r:id="rId11"/>
      <w:footerReference w:type="default" r:id="rId12"/>
      <w:pgSz w:w="11906" w:h="16838"/>
      <w:pgMar w:top="1418" w:right="1701" w:bottom="1418"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8DA60" w14:textId="77777777" w:rsidR="00043999" w:rsidRDefault="00043999">
      <w:r>
        <w:separator/>
      </w:r>
    </w:p>
  </w:endnote>
  <w:endnote w:type="continuationSeparator" w:id="0">
    <w:p w14:paraId="53001940" w14:textId="77777777" w:rsidR="00043999" w:rsidRDefault="00043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仿宋简体">
    <w:altName w:val="微软雅黑"/>
    <w:charset w:val="86"/>
    <w:family w:val="auto"/>
    <w:pitch w:val="default"/>
    <w:sig w:usb0="00000000" w:usb1="00000000" w:usb2="00000012" w:usb3="00000000" w:csb0="00040001" w:csb1="00000000"/>
  </w:font>
  <w:font w:name="Arial Unicode MS">
    <w:panose1 w:val="020B0604020202020204"/>
    <w:charset w:val="86"/>
    <w:family w:val="swiss"/>
    <w:pitch w:val="variable"/>
    <w:sig w:usb0="F7FFAFFF"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276D8" w14:textId="77777777" w:rsidR="001B6FFE" w:rsidRDefault="001B6FFE">
    <w:pPr>
      <w:pStyle w:val="a8"/>
      <w:framePr w:wrap="around" w:vAnchor="text" w:hAnchor="margin" w:xAlign="center" w:y="1"/>
      <w:rPr>
        <w:rStyle w:val="ad"/>
      </w:rPr>
    </w:pPr>
    <w:r>
      <w:fldChar w:fldCharType="begin"/>
    </w:r>
    <w:r>
      <w:rPr>
        <w:rStyle w:val="ad"/>
      </w:rPr>
      <w:instrText xml:space="preserve">PAGE  </w:instrText>
    </w:r>
    <w:r>
      <w:fldChar w:fldCharType="end"/>
    </w:r>
  </w:p>
  <w:p w14:paraId="1A36144A" w14:textId="77777777" w:rsidR="001B6FFE" w:rsidRDefault="001B6FF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1165094"/>
      <w:docPartObj>
        <w:docPartGallery w:val="Page Numbers (Bottom of Page)"/>
        <w:docPartUnique/>
      </w:docPartObj>
    </w:sdtPr>
    <w:sdtEndPr/>
    <w:sdtContent>
      <w:p w14:paraId="31DAB113" w14:textId="727EBEFB" w:rsidR="001B6FFE" w:rsidRDefault="001B6FFE" w:rsidP="00B717E9">
        <w:pPr>
          <w:pStyle w:val="a8"/>
          <w:jc w:val="center"/>
        </w:pPr>
        <w:r>
          <w:fldChar w:fldCharType="begin"/>
        </w:r>
        <w:r>
          <w:instrText>PAGE   \* MERGEFORMAT</w:instrText>
        </w:r>
        <w:r>
          <w:fldChar w:fldCharType="separate"/>
        </w:r>
        <w:r w:rsidR="001569C5" w:rsidRPr="001569C5">
          <w:rPr>
            <w:noProof/>
            <w:lang w:val="zh-CN"/>
          </w:rPr>
          <w:t>4</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98CE3" w14:textId="77777777" w:rsidR="001B6FFE" w:rsidRDefault="001B6FF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307BF" w14:textId="77777777" w:rsidR="00043999" w:rsidRDefault="00043999">
      <w:r>
        <w:separator/>
      </w:r>
    </w:p>
  </w:footnote>
  <w:footnote w:type="continuationSeparator" w:id="0">
    <w:p w14:paraId="01C1935E" w14:textId="77777777" w:rsidR="00043999" w:rsidRDefault="00043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55A33" w14:textId="4AAE99A2" w:rsidR="001B6FFE" w:rsidRDefault="001B6FFE" w:rsidP="00B717E9">
    <w:pPr>
      <w:pStyle w:val="a9"/>
      <w:jc w:val="both"/>
    </w:pPr>
    <w:r>
      <w:rPr>
        <w:rFonts w:hint="eastAsia"/>
      </w:rPr>
      <w:t>浦银新材料混合型发起式证券投资基金</w:t>
    </w:r>
    <w:r>
      <w:rPr>
        <w:rFonts w:hint="eastAsia"/>
      </w:rPr>
      <w:t xml:space="preserve"> </w:t>
    </w:r>
    <w:r>
      <w:t xml:space="preserve">                                          </w:t>
    </w:r>
    <w:r w:rsidR="00850743">
      <w:t xml:space="preserve">     </w:t>
    </w:r>
    <w:r>
      <w:rPr>
        <w:rFonts w:hint="eastAsia"/>
      </w:rPr>
      <w:t>托管协议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1B257" w14:textId="77777777" w:rsidR="001B6FFE" w:rsidRDefault="001B6FFE">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activeWritingStyle w:appName="MSWord" w:lang="en-US" w:vendorID="64" w:dllVersion="131078" w:nlCheck="1" w:checkStyle="0"/>
  <w:activeWritingStyle w:appName="MSWord" w:lang="zh-CN" w:vendorID="64" w:dllVersion="131077" w:nlCheck="1" w:checkStyle="1"/>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042"/>
    <w:rsid w:val="8B7BA64B"/>
    <w:rsid w:val="9EEC2FDA"/>
    <w:rsid w:val="ADFF956F"/>
    <w:rsid w:val="B785C7CA"/>
    <w:rsid w:val="B7BCD0A3"/>
    <w:rsid w:val="B9BE5279"/>
    <w:rsid w:val="BC6B4322"/>
    <w:rsid w:val="BFD55DC2"/>
    <w:rsid w:val="BFFABFDA"/>
    <w:rsid w:val="CFFFC8DE"/>
    <w:rsid w:val="DDCEC459"/>
    <w:rsid w:val="DFE630C5"/>
    <w:rsid w:val="E2FFD708"/>
    <w:rsid w:val="E35E5976"/>
    <w:rsid w:val="E77E948D"/>
    <w:rsid w:val="E7FA916D"/>
    <w:rsid w:val="EBFF0AEF"/>
    <w:rsid w:val="EF7F42AA"/>
    <w:rsid w:val="F52FCEE4"/>
    <w:rsid w:val="F7D6EE25"/>
    <w:rsid w:val="F7FE45AB"/>
    <w:rsid w:val="F7FF6C32"/>
    <w:rsid w:val="F9FFFA32"/>
    <w:rsid w:val="FBDEF80E"/>
    <w:rsid w:val="FD755021"/>
    <w:rsid w:val="FE6B0E92"/>
    <w:rsid w:val="FE7D54BF"/>
    <w:rsid w:val="FF333780"/>
    <w:rsid w:val="FF36983F"/>
    <w:rsid w:val="FFCFB805"/>
    <w:rsid w:val="FFD755C8"/>
    <w:rsid w:val="0000121B"/>
    <w:rsid w:val="0000688E"/>
    <w:rsid w:val="00006E47"/>
    <w:rsid w:val="00010497"/>
    <w:rsid w:val="0001135E"/>
    <w:rsid w:val="000130E0"/>
    <w:rsid w:val="00015B61"/>
    <w:rsid w:val="00017C77"/>
    <w:rsid w:val="00025DD2"/>
    <w:rsid w:val="00027642"/>
    <w:rsid w:val="00042EF4"/>
    <w:rsid w:val="00043999"/>
    <w:rsid w:val="00051611"/>
    <w:rsid w:val="0005215C"/>
    <w:rsid w:val="00056446"/>
    <w:rsid w:val="0006019E"/>
    <w:rsid w:val="00060B4C"/>
    <w:rsid w:val="00062D3A"/>
    <w:rsid w:val="00062D92"/>
    <w:rsid w:val="00064B45"/>
    <w:rsid w:val="00070DE0"/>
    <w:rsid w:val="000737B4"/>
    <w:rsid w:val="00076D21"/>
    <w:rsid w:val="000811F2"/>
    <w:rsid w:val="000813EC"/>
    <w:rsid w:val="00082B75"/>
    <w:rsid w:val="00082CF3"/>
    <w:rsid w:val="000847D4"/>
    <w:rsid w:val="00093309"/>
    <w:rsid w:val="00097ADA"/>
    <w:rsid w:val="000A45F4"/>
    <w:rsid w:val="000A6416"/>
    <w:rsid w:val="000B26C1"/>
    <w:rsid w:val="000C0756"/>
    <w:rsid w:val="000C596E"/>
    <w:rsid w:val="000C6346"/>
    <w:rsid w:val="000C6FE5"/>
    <w:rsid w:val="000D2B53"/>
    <w:rsid w:val="000D5605"/>
    <w:rsid w:val="000D74F0"/>
    <w:rsid w:val="000E02F6"/>
    <w:rsid w:val="000E2200"/>
    <w:rsid w:val="000E341A"/>
    <w:rsid w:val="000E3E0A"/>
    <w:rsid w:val="000F27CC"/>
    <w:rsid w:val="000F428A"/>
    <w:rsid w:val="000F6742"/>
    <w:rsid w:val="0010349A"/>
    <w:rsid w:val="001041E7"/>
    <w:rsid w:val="001134FF"/>
    <w:rsid w:val="001148FA"/>
    <w:rsid w:val="001155F1"/>
    <w:rsid w:val="00116497"/>
    <w:rsid w:val="00123DE0"/>
    <w:rsid w:val="00124100"/>
    <w:rsid w:val="0012506E"/>
    <w:rsid w:val="001265D5"/>
    <w:rsid w:val="00126D62"/>
    <w:rsid w:val="00127E18"/>
    <w:rsid w:val="0013025A"/>
    <w:rsid w:val="001322F3"/>
    <w:rsid w:val="001327B4"/>
    <w:rsid w:val="00135FD1"/>
    <w:rsid w:val="00136105"/>
    <w:rsid w:val="00136262"/>
    <w:rsid w:val="00140A8B"/>
    <w:rsid w:val="0014149A"/>
    <w:rsid w:val="00141D17"/>
    <w:rsid w:val="00150346"/>
    <w:rsid w:val="00150B18"/>
    <w:rsid w:val="00153BE1"/>
    <w:rsid w:val="001560A4"/>
    <w:rsid w:val="001569C5"/>
    <w:rsid w:val="00157370"/>
    <w:rsid w:val="00163E39"/>
    <w:rsid w:val="0017392D"/>
    <w:rsid w:val="001753F3"/>
    <w:rsid w:val="0018600A"/>
    <w:rsid w:val="00187F0A"/>
    <w:rsid w:val="00190611"/>
    <w:rsid w:val="001907FA"/>
    <w:rsid w:val="001A07B6"/>
    <w:rsid w:val="001A3439"/>
    <w:rsid w:val="001A74F5"/>
    <w:rsid w:val="001A7A19"/>
    <w:rsid w:val="001B3A8D"/>
    <w:rsid w:val="001B6FFE"/>
    <w:rsid w:val="001C25AE"/>
    <w:rsid w:val="001C34BE"/>
    <w:rsid w:val="001C368B"/>
    <w:rsid w:val="001C41EB"/>
    <w:rsid w:val="001C5716"/>
    <w:rsid w:val="001C5A98"/>
    <w:rsid w:val="001D56F6"/>
    <w:rsid w:val="001D6A57"/>
    <w:rsid w:val="001F1E3A"/>
    <w:rsid w:val="001F3E7F"/>
    <w:rsid w:val="001F4F46"/>
    <w:rsid w:val="001F76B3"/>
    <w:rsid w:val="002018C2"/>
    <w:rsid w:val="00203B36"/>
    <w:rsid w:val="00212966"/>
    <w:rsid w:val="00213A00"/>
    <w:rsid w:val="002146B3"/>
    <w:rsid w:val="00214CCE"/>
    <w:rsid w:val="0022735E"/>
    <w:rsid w:val="00232708"/>
    <w:rsid w:val="00240467"/>
    <w:rsid w:val="00242BCA"/>
    <w:rsid w:val="002460F7"/>
    <w:rsid w:val="002501BE"/>
    <w:rsid w:val="00250405"/>
    <w:rsid w:val="00260853"/>
    <w:rsid w:val="00261F02"/>
    <w:rsid w:val="00265B98"/>
    <w:rsid w:val="0026622A"/>
    <w:rsid w:val="00266E59"/>
    <w:rsid w:val="00267B62"/>
    <w:rsid w:val="00267D89"/>
    <w:rsid w:val="00274A08"/>
    <w:rsid w:val="002768E1"/>
    <w:rsid w:val="0028070D"/>
    <w:rsid w:val="00282036"/>
    <w:rsid w:val="0028364F"/>
    <w:rsid w:val="00285CFD"/>
    <w:rsid w:val="00287171"/>
    <w:rsid w:val="00292908"/>
    <w:rsid w:val="002930BE"/>
    <w:rsid w:val="00293EE1"/>
    <w:rsid w:val="00295230"/>
    <w:rsid w:val="002A2445"/>
    <w:rsid w:val="002A4468"/>
    <w:rsid w:val="002B0EF8"/>
    <w:rsid w:val="002B14FE"/>
    <w:rsid w:val="002C1BC2"/>
    <w:rsid w:val="002C3D2A"/>
    <w:rsid w:val="002D160F"/>
    <w:rsid w:val="002D17BD"/>
    <w:rsid w:val="002D6695"/>
    <w:rsid w:val="002F71EB"/>
    <w:rsid w:val="00304D90"/>
    <w:rsid w:val="00304F29"/>
    <w:rsid w:val="00311042"/>
    <w:rsid w:val="00311BB3"/>
    <w:rsid w:val="003148F0"/>
    <w:rsid w:val="00316BBE"/>
    <w:rsid w:val="00325DA8"/>
    <w:rsid w:val="0032672D"/>
    <w:rsid w:val="0033753A"/>
    <w:rsid w:val="003406EF"/>
    <w:rsid w:val="003427EC"/>
    <w:rsid w:val="00344644"/>
    <w:rsid w:val="00355540"/>
    <w:rsid w:val="003557CF"/>
    <w:rsid w:val="00356830"/>
    <w:rsid w:val="00363848"/>
    <w:rsid w:val="00376451"/>
    <w:rsid w:val="003873C7"/>
    <w:rsid w:val="00387928"/>
    <w:rsid w:val="003A3358"/>
    <w:rsid w:val="003B1986"/>
    <w:rsid w:val="003C106A"/>
    <w:rsid w:val="003C2100"/>
    <w:rsid w:val="003C7CDA"/>
    <w:rsid w:val="003D25E4"/>
    <w:rsid w:val="003D3241"/>
    <w:rsid w:val="003D4295"/>
    <w:rsid w:val="003D6173"/>
    <w:rsid w:val="003D73F6"/>
    <w:rsid w:val="003E023C"/>
    <w:rsid w:val="003E1A67"/>
    <w:rsid w:val="003E3B61"/>
    <w:rsid w:val="003F0CB4"/>
    <w:rsid w:val="003F21AD"/>
    <w:rsid w:val="003F6197"/>
    <w:rsid w:val="003F7709"/>
    <w:rsid w:val="004136FD"/>
    <w:rsid w:val="004200BC"/>
    <w:rsid w:val="004218BB"/>
    <w:rsid w:val="004226B2"/>
    <w:rsid w:val="004257EF"/>
    <w:rsid w:val="00425962"/>
    <w:rsid w:val="00425C57"/>
    <w:rsid w:val="004269AB"/>
    <w:rsid w:val="00430302"/>
    <w:rsid w:val="0043240B"/>
    <w:rsid w:val="004352B5"/>
    <w:rsid w:val="00441C1A"/>
    <w:rsid w:val="00441D9B"/>
    <w:rsid w:val="004426C4"/>
    <w:rsid w:val="00442C6E"/>
    <w:rsid w:val="004504E3"/>
    <w:rsid w:val="00453D7B"/>
    <w:rsid w:val="00462B43"/>
    <w:rsid w:val="0046683D"/>
    <w:rsid w:val="00466D37"/>
    <w:rsid w:val="00481081"/>
    <w:rsid w:val="00487DD8"/>
    <w:rsid w:val="0049424F"/>
    <w:rsid w:val="004970B1"/>
    <w:rsid w:val="004B0FB2"/>
    <w:rsid w:val="004B3366"/>
    <w:rsid w:val="004B775B"/>
    <w:rsid w:val="004C019B"/>
    <w:rsid w:val="004C15F0"/>
    <w:rsid w:val="004C1ADD"/>
    <w:rsid w:val="004D0084"/>
    <w:rsid w:val="004D12D2"/>
    <w:rsid w:val="004D5D05"/>
    <w:rsid w:val="004D66D1"/>
    <w:rsid w:val="004E061E"/>
    <w:rsid w:val="004E123B"/>
    <w:rsid w:val="004E181A"/>
    <w:rsid w:val="004E2082"/>
    <w:rsid w:val="004E4D1C"/>
    <w:rsid w:val="004E5B2A"/>
    <w:rsid w:val="004E64BB"/>
    <w:rsid w:val="004F287A"/>
    <w:rsid w:val="005011B5"/>
    <w:rsid w:val="00501A3C"/>
    <w:rsid w:val="00503139"/>
    <w:rsid w:val="0050611B"/>
    <w:rsid w:val="00507BA8"/>
    <w:rsid w:val="005109AD"/>
    <w:rsid w:val="00511474"/>
    <w:rsid w:val="00515A8D"/>
    <w:rsid w:val="0053098D"/>
    <w:rsid w:val="00532816"/>
    <w:rsid w:val="00534C7C"/>
    <w:rsid w:val="00546309"/>
    <w:rsid w:val="00550344"/>
    <w:rsid w:val="0055068B"/>
    <w:rsid w:val="005535F3"/>
    <w:rsid w:val="00562238"/>
    <w:rsid w:val="00566964"/>
    <w:rsid w:val="005726F5"/>
    <w:rsid w:val="005824BE"/>
    <w:rsid w:val="005853C5"/>
    <w:rsid w:val="00587674"/>
    <w:rsid w:val="00596CC4"/>
    <w:rsid w:val="0059733E"/>
    <w:rsid w:val="00597AA5"/>
    <w:rsid w:val="005A02E4"/>
    <w:rsid w:val="005A335D"/>
    <w:rsid w:val="005A36F4"/>
    <w:rsid w:val="005A7359"/>
    <w:rsid w:val="005B50BD"/>
    <w:rsid w:val="005B7293"/>
    <w:rsid w:val="005C0870"/>
    <w:rsid w:val="005C1178"/>
    <w:rsid w:val="005C176E"/>
    <w:rsid w:val="005C1EDA"/>
    <w:rsid w:val="005C31D3"/>
    <w:rsid w:val="005C3378"/>
    <w:rsid w:val="005D0B0F"/>
    <w:rsid w:val="005D0C98"/>
    <w:rsid w:val="005D19E9"/>
    <w:rsid w:val="005D72B7"/>
    <w:rsid w:val="005E24C1"/>
    <w:rsid w:val="005E42E9"/>
    <w:rsid w:val="005E4B55"/>
    <w:rsid w:val="005E5EFB"/>
    <w:rsid w:val="005E5F67"/>
    <w:rsid w:val="005E771B"/>
    <w:rsid w:val="005F69DD"/>
    <w:rsid w:val="005F710F"/>
    <w:rsid w:val="006002B3"/>
    <w:rsid w:val="00624E32"/>
    <w:rsid w:val="006269D5"/>
    <w:rsid w:val="00630AF2"/>
    <w:rsid w:val="00630B02"/>
    <w:rsid w:val="00641157"/>
    <w:rsid w:val="006429A1"/>
    <w:rsid w:val="00643588"/>
    <w:rsid w:val="00645DC7"/>
    <w:rsid w:val="006505EA"/>
    <w:rsid w:val="006546A6"/>
    <w:rsid w:val="00656218"/>
    <w:rsid w:val="0065786C"/>
    <w:rsid w:val="00661A8F"/>
    <w:rsid w:val="00662714"/>
    <w:rsid w:val="006664FE"/>
    <w:rsid w:val="006712C3"/>
    <w:rsid w:val="006730F4"/>
    <w:rsid w:val="006738A7"/>
    <w:rsid w:val="00675654"/>
    <w:rsid w:val="00681D09"/>
    <w:rsid w:val="00681F53"/>
    <w:rsid w:val="00682675"/>
    <w:rsid w:val="00683B37"/>
    <w:rsid w:val="006907BC"/>
    <w:rsid w:val="0069338A"/>
    <w:rsid w:val="006A0988"/>
    <w:rsid w:val="006A0F96"/>
    <w:rsid w:val="006A7126"/>
    <w:rsid w:val="006B420C"/>
    <w:rsid w:val="006B657B"/>
    <w:rsid w:val="006B789D"/>
    <w:rsid w:val="006B7986"/>
    <w:rsid w:val="006C5A0C"/>
    <w:rsid w:val="006C6A01"/>
    <w:rsid w:val="006C727F"/>
    <w:rsid w:val="006C78EB"/>
    <w:rsid w:val="006C791F"/>
    <w:rsid w:val="006D3AC0"/>
    <w:rsid w:val="006D3D14"/>
    <w:rsid w:val="006D4FA4"/>
    <w:rsid w:val="006D602B"/>
    <w:rsid w:val="006F5115"/>
    <w:rsid w:val="0070153D"/>
    <w:rsid w:val="0070257C"/>
    <w:rsid w:val="00702625"/>
    <w:rsid w:val="0070633A"/>
    <w:rsid w:val="0071167C"/>
    <w:rsid w:val="00717FB4"/>
    <w:rsid w:val="00720CBD"/>
    <w:rsid w:val="007238E8"/>
    <w:rsid w:val="00730227"/>
    <w:rsid w:val="00733205"/>
    <w:rsid w:val="00734147"/>
    <w:rsid w:val="00736D67"/>
    <w:rsid w:val="0074296E"/>
    <w:rsid w:val="00743EC6"/>
    <w:rsid w:val="00752776"/>
    <w:rsid w:val="007615BE"/>
    <w:rsid w:val="0076251B"/>
    <w:rsid w:val="00762BCE"/>
    <w:rsid w:val="007837F1"/>
    <w:rsid w:val="0078689D"/>
    <w:rsid w:val="00787CAA"/>
    <w:rsid w:val="00797351"/>
    <w:rsid w:val="007A035F"/>
    <w:rsid w:val="007A0C66"/>
    <w:rsid w:val="007B3F36"/>
    <w:rsid w:val="007C4F48"/>
    <w:rsid w:val="007D1E95"/>
    <w:rsid w:val="007E1412"/>
    <w:rsid w:val="007F0282"/>
    <w:rsid w:val="007F239C"/>
    <w:rsid w:val="007F3A86"/>
    <w:rsid w:val="007F5833"/>
    <w:rsid w:val="008017A3"/>
    <w:rsid w:val="00805983"/>
    <w:rsid w:val="008100A3"/>
    <w:rsid w:val="008101F9"/>
    <w:rsid w:val="00811A83"/>
    <w:rsid w:val="0081385A"/>
    <w:rsid w:val="00821D03"/>
    <w:rsid w:val="00823925"/>
    <w:rsid w:val="00831771"/>
    <w:rsid w:val="0083540C"/>
    <w:rsid w:val="0084120C"/>
    <w:rsid w:val="00843476"/>
    <w:rsid w:val="00845C9F"/>
    <w:rsid w:val="00847385"/>
    <w:rsid w:val="00850743"/>
    <w:rsid w:val="00853175"/>
    <w:rsid w:val="00854A50"/>
    <w:rsid w:val="0085709F"/>
    <w:rsid w:val="0086051A"/>
    <w:rsid w:val="00864DEF"/>
    <w:rsid w:val="008671DA"/>
    <w:rsid w:val="008678AA"/>
    <w:rsid w:val="008720C6"/>
    <w:rsid w:val="008740C5"/>
    <w:rsid w:val="008767B9"/>
    <w:rsid w:val="00876E47"/>
    <w:rsid w:val="008770BA"/>
    <w:rsid w:val="00880764"/>
    <w:rsid w:val="008836C1"/>
    <w:rsid w:val="008864E2"/>
    <w:rsid w:val="0089004A"/>
    <w:rsid w:val="008912A7"/>
    <w:rsid w:val="0089222D"/>
    <w:rsid w:val="00892EB4"/>
    <w:rsid w:val="0089566B"/>
    <w:rsid w:val="00896ADB"/>
    <w:rsid w:val="008A08F1"/>
    <w:rsid w:val="008A3DAA"/>
    <w:rsid w:val="008A61DD"/>
    <w:rsid w:val="008B1EC1"/>
    <w:rsid w:val="008B2655"/>
    <w:rsid w:val="008B3DED"/>
    <w:rsid w:val="008B4850"/>
    <w:rsid w:val="008C1838"/>
    <w:rsid w:val="008D5491"/>
    <w:rsid w:val="008D76FB"/>
    <w:rsid w:val="008E5DEA"/>
    <w:rsid w:val="008E78A5"/>
    <w:rsid w:val="008F0303"/>
    <w:rsid w:val="008F03FB"/>
    <w:rsid w:val="008F3181"/>
    <w:rsid w:val="008F4522"/>
    <w:rsid w:val="008F466F"/>
    <w:rsid w:val="008F47E4"/>
    <w:rsid w:val="009024D0"/>
    <w:rsid w:val="009101CA"/>
    <w:rsid w:val="0091054C"/>
    <w:rsid w:val="009112D8"/>
    <w:rsid w:val="0091243F"/>
    <w:rsid w:val="00914177"/>
    <w:rsid w:val="00915CB7"/>
    <w:rsid w:val="00917721"/>
    <w:rsid w:val="00920E8A"/>
    <w:rsid w:val="00931FC3"/>
    <w:rsid w:val="009328F1"/>
    <w:rsid w:val="0093333E"/>
    <w:rsid w:val="00945BF4"/>
    <w:rsid w:val="009609E0"/>
    <w:rsid w:val="0096243C"/>
    <w:rsid w:val="00965ED3"/>
    <w:rsid w:val="0096669E"/>
    <w:rsid w:val="009730BC"/>
    <w:rsid w:val="009733CE"/>
    <w:rsid w:val="00981730"/>
    <w:rsid w:val="0098210D"/>
    <w:rsid w:val="00983B5C"/>
    <w:rsid w:val="00984640"/>
    <w:rsid w:val="00984A8C"/>
    <w:rsid w:val="00985E67"/>
    <w:rsid w:val="00986D89"/>
    <w:rsid w:val="00996B96"/>
    <w:rsid w:val="009C37EB"/>
    <w:rsid w:val="009C5A2E"/>
    <w:rsid w:val="009C7538"/>
    <w:rsid w:val="009C7DAD"/>
    <w:rsid w:val="009D1CCD"/>
    <w:rsid w:val="009D5A0C"/>
    <w:rsid w:val="009E52D4"/>
    <w:rsid w:val="009E5A15"/>
    <w:rsid w:val="009F1453"/>
    <w:rsid w:val="009F430E"/>
    <w:rsid w:val="009F4D3A"/>
    <w:rsid w:val="009F5BC3"/>
    <w:rsid w:val="009F5CD6"/>
    <w:rsid w:val="00A01902"/>
    <w:rsid w:val="00A01BAF"/>
    <w:rsid w:val="00A032F5"/>
    <w:rsid w:val="00A11745"/>
    <w:rsid w:val="00A11919"/>
    <w:rsid w:val="00A11D7C"/>
    <w:rsid w:val="00A12A95"/>
    <w:rsid w:val="00A166ED"/>
    <w:rsid w:val="00A24943"/>
    <w:rsid w:val="00A2570C"/>
    <w:rsid w:val="00A32DA9"/>
    <w:rsid w:val="00A3315E"/>
    <w:rsid w:val="00A35E2C"/>
    <w:rsid w:val="00A40575"/>
    <w:rsid w:val="00A40C47"/>
    <w:rsid w:val="00A44BDC"/>
    <w:rsid w:val="00A46D25"/>
    <w:rsid w:val="00A52E90"/>
    <w:rsid w:val="00A538F6"/>
    <w:rsid w:val="00A542FA"/>
    <w:rsid w:val="00A55CCE"/>
    <w:rsid w:val="00A56227"/>
    <w:rsid w:val="00A60F4B"/>
    <w:rsid w:val="00A613D5"/>
    <w:rsid w:val="00A702FB"/>
    <w:rsid w:val="00A73026"/>
    <w:rsid w:val="00A74BD1"/>
    <w:rsid w:val="00A772F4"/>
    <w:rsid w:val="00A8219E"/>
    <w:rsid w:val="00A82CB5"/>
    <w:rsid w:val="00A8421D"/>
    <w:rsid w:val="00A8712E"/>
    <w:rsid w:val="00A90481"/>
    <w:rsid w:val="00A93F41"/>
    <w:rsid w:val="00A96D44"/>
    <w:rsid w:val="00A974BB"/>
    <w:rsid w:val="00A9762A"/>
    <w:rsid w:val="00A97CC6"/>
    <w:rsid w:val="00AA0068"/>
    <w:rsid w:val="00AA0AED"/>
    <w:rsid w:val="00AA473F"/>
    <w:rsid w:val="00AA4A03"/>
    <w:rsid w:val="00AB48CA"/>
    <w:rsid w:val="00AD14FA"/>
    <w:rsid w:val="00AD1D2A"/>
    <w:rsid w:val="00AD1FA6"/>
    <w:rsid w:val="00AD7F61"/>
    <w:rsid w:val="00AE1753"/>
    <w:rsid w:val="00AE30BF"/>
    <w:rsid w:val="00AE5C76"/>
    <w:rsid w:val="00AE645C"/>
    <w:rsid w:val="00AE737A"/>
    <w:rsid w:val="00AF2053"/>
    <w:rsid w:val="00AF79B4"/>
    <w:rsid w:val="00AF7BC3"/>
    <w:rsid w:val="00B0091A"/>
    <w:rsid w:val="00B03E8B"/>
    <w:rsid w:val="00B06EE9"/>
    <w:rsid w:val="00B07665"/>
    <w:rsid w:val="00B07AD4"/>
    <w:rsid w:val="00B10685"/>
    <w:rsid w:val="00B13A2E"/>
    <w:rsid w:val="00B163C8"/>
    <w:rsid w:val="00B16EAA"/>
    <w:rsid w:val="00B171F3"/>
    <w:rsid w:val="00B20AAD"/>
    <w:rsid w:val="00B23918"/>
    <w:rsid w:val="00B240E0"/>
    <w:rsid w:val="00B24B52"/>
    <w:rsid w:val="00B30EA5"/>
    <w:rsid w:val="00B31D89"/>
    <w:rsid w:val="00B33620"/>
    <w:rsid w:val="00B36311"/>
    <w:rsid w:val="00B369C4"/>
    <w:rsid w:val="00B36CE9"/>
    <w:rsid w:val="00B407FB"/>
    <w:rsid w:val="00B440D3"/>
    <w:rsid w:val="00B452D7"/>
    <w:rsid w:val="00B473F8"/>
    <w:rsid w:val="00B52F7B"/>
    <w:rsid w:val="00B565B5"/>
    <w:rsid w:val="00B7073A"/>
    <w:rsid w:val="00B717E9"/>
    <w:rsid w:val="00B72415"/>
    <w:rsid w:val="00B74856"/>
    <w:rsid w:val="00B82623"/>
    <w:rsid w:val="00B93A53"/>
    <w:rsid w:val="00BA0F8D"/>
    <w:rsid w:val="00BA65E8"/>
    <w:rsid w:val="00BB7AFD"/>
    <w:rsid w:val="00BC437C"/>
    <w:rsid w:val="00BC4A2D"/>
    <w:rsid w:val="00BC6B7F"/>
    <w:rsid w:val="00BC7A80"/>
    <w:rsid w:val="00BD203F"/>
    <w:rsid w:val="00BD25DA"/>
    <w:rsid w:val="00BD2FC9"/>
    <w:rsid w:val="00BD457F"/>
    <w:rsid w:val="00BD685F"/>
    <w:rsid w:val="00BD689E"/>
    <w:rsid w:val="00BE320D"/>
    <w:rsid w:val="00BE340F"/>
    <w:rsid w:val="00BE5794"/>
    <w:rsid w:val="00BF108F"/>
    <w:rsid w:val="00BF1169"/>
    <w:rsid w:val="00BF37FF"/>
    <w:rsid w:val="00BF40CD"/>
    <w:rsid w:val="00BF7875"/>
    <w:rsid w:val="00C068BC"/>
    <w:rsid w:val="00C10468"/>
    <w:rsid w:val="00C1094F"/>
    <w:rsid w:val="00C13559"/>
    <w:rsid w:val="00C15A88"/>
    <w:rsid w:val="00C27460"/>
    <w:rsid w:val="00C31156"/>
    <w:rsid w:val="00C40A7A"/>
    <w:rsid w:val="00C4302E"/>
    <w:rsid w:val="00C458BD"/>
    <w:rsid w:val="00C4595D"/>
    <w:rsid w:val="00C53B58"/>
    <w:rsid w:val="00C5703F"/>
    <w:rsid w:val="00C60552"/>
    <w:rsid w:val="00C61431"/>
    <w:rsid w:val="00C62C65"/>
    <w:rsid w:val="00C70D44"/>
    <w:rsid w:val="00C734A5"/>
    <w:rsid w:val="00C736FA"/>
    <w:rsid w:val="00C77AD3"/>
    <w:rsid w:val="00C8460F"/>
    <w:rsid w:val="00C846C3"/>
    <w:rsid w:val="00C85D34"/>
    <w:rsid w:val="00C90245"/>
    <w:rsid w:val="00C92459"/>
    <w:rsid w:val="00C945C7"/>
    <w:rsid w:val="00C959B7"/>
    <w:rsid w:val="00CA0DED"/>
    <w:rsid w:val="00CA2D7E"/>
    <w:rsid w:val="00CB09E3"/>
    <w:rsid w:val="00CB2403"/>
    <w:rsid w:val="00CC0E8C"/>
    <w:rsid w:val="00CC1093"/>
    <w:rsid w:val="00CC6983"/>
    <w:rsid w:val="00CC7295"/>
    <w:rsid w:val="00CC7B73"/>
    <w:rsid w:val="00CD085D"/>
    <w:rsid w:val="00CD1B3F"/>
    <w:rsid w:val="00CD2788"/>
    <w:rsid w:val="00CE093B"/>
    <w:rsid w:val="00CE2963"/>
    <w:rsid w:val="00CE57FE"/>
    <w:rsid w:val="00CE5B14"/>
    <w:rsid w:val="00CE6ADD"/>
    <w:rsid w:val="00CF0BDC"/>
    <w:rsid w:val="00CF39B3"/>
    <w:rsid w:val="00CF5708"/>
    <w:rsid w:val="00CF72CA"/>
    <w:rsid w:val="00CF7959"/>
    <w:rsid w:val="00D032B1"/>
    <w:rsid w:val="00D1054B"/>
    <w:rsid w:val="00D13FDA"/>
    <w:rsid w:val="00D16740"/>
    <w:rsid w:val="00D1743A"/>
    <w:rsid w:val="00D20424"/>
    <w:rsid w:val="00D20C86"/>
    <w:rsid w:val="00D2187E"/>
    <w:rsid w:val="00D22664"/>
    <w:rsid w:val="00D3764E"/>
    <w:rsid w:val="00D40DE5"/>
    <w:rsid w:val="00D47F61"/>
    <w:rsid w:val="00D51FED"/>
    <w:rsid w:val="00D52B0F"/>
    <w:rsid w:val="00D56A73"/>
    <w:rsid w:val="00D614EC"/>
    <w:rsid w:val="00D633DE"/>
    <w:rsid w:val="00D67E4B"/>
    <w:rsid w:val="00D71DEB"/>
    <w:rsid w:val="00D7753F"/>
    <w:rsid w:val="00D9061F"/>
    <w:rsid w:val="00D92783"/>
    <w:rsid w:val="00D94D38"/>
    <w:rsid w:val="00DA17FF"/>
    <w:rsid w:val="00DA1B1B"/>
    <w:rsid w:val="00DA51BA"/>
    <w:rsid w:val="00DA795C"/>
    <w:rsid w:val="00DB00C4"/>
    <w:rsid w:val="00DB6273"/>
    <w:rsid w:val="00DC76DF"/>
    <w:rsid w:val="00DD063D"/>
    <w:rsid w:val="00DD1436"/>
    <w:rsid w:val="00DE23ED"/>
    <w:rsid w:val="00DE4EBC"/>
    <w:rsid w:val="00DE662D"/>
    <w:rsid w:val="00DF0715"/>
    <w:rsid w:val="00DF154A"/>
    <w:rsid w:val="00DF5F45"/>
    <w:rsid w:val="00E07807"/>
    <w:rsid w:val="00E10F61"/>
    <w:rsid w:val="00E1153E"/>
    <w:rsid w:val="00E1211B"/>
    <w:rsid w:val="00E14F00"/>
    <w:rsid w:val="00E154BF"/>
    <w:rsid w:val="00E154E0"/>
    <w:rsid w:val="00E15D1B"/>
    <w:rsid w:val="00E203E9"/>
    <w:rsid w:val="00E26362"/>
    <w:rsid w:val="00E26997"/>
    <w:rsid w:val="00E27E27"/>
    <w:rsid w:val="00E304A2"/>
    <w:rsid w:val="00E322D3"/>
    <w:rsid w:val="00E36351"/>
    <w:rsid w:val="00E37A0F"/>
    <w:rsid w:val="00E423C1"/>
    <w:rsid w:val="00E42503"/>
    <w:rsid w:val="00E425FA"/>
    <w:rsid w:val="00E5028C"/>
    <w:rsid w:val="00E63307"/>
    <w:rsid w:val="00E64323"/>
    <w:rsid w:val="00E6495B"/>
    <w:rsid w:val="00E6557C"/>
    <w:rsid w:val="00E73326"/>
    <w:rsid w:val="00E74A97"/>
    <w:rsid w:val="00E75B45"/>
    <w:rsid w:val="00E776C4"/>
    <w:rsid w:val="00E809C7"/>
    <w:rsid w:val="00E81FF8"/>
    <w:rsid w:val="00E85923"/>
    <w:rsid w:val="00E938F3"/>
    <w:rsid w:val="00E94313"/>
    <w:rsid w:val="00E96345"/>
    <w:rsid w:val="00EA20AB"/>
    <w:rsid w:val="00EA36C3"/>
    <w:rsid w:val="00EA4B2B"/>
    <w:rsid w:val="00EB036A"/>
    <w:rsid w:val="00EB03B2"/>
    <w:rsid w:val="00EB040F"/>
    <w:rsid w:val="00EB1081"/>
    <w:rsid w:val="00EB5AA6"/>
    <w:rsid w:val="00EB5C13"/>
    <w:rsid w:val="00EC2621"/>
    <w:rsid w:val="00EC3B96"/>
    <w:rsid w:val="00EC7352"/>
    <w:rsid w:val="00ED3A46"/>
    <w:rsid w:val="00ED600A"/>
    <w:rsid w:val="00ED6FD1"/>
    <w:rsid w:val="00EE01C2"/>
    <w:rsid w:val="00EE0BC0"/>
    <w:rsid w:val="00EE1276"/>
    <w:rsid w:val="00EE587E"/>
    <w:rsid w:val="00EE5B21"/>
    <w:rsid w:val="00EE7421"/>
    <w:rsid w:val="00EF0193"/>
    <w:rsid w:val="00EF3C41"/>
    <w:rsid w:val="00EF4AE8"/>
    <w:rsid w:val="00F06EF6"/>
    <w:rsid w:val="00F17B64"/>
    <w:rsid w:val="00F21352"/>
    <w:rsid w:val="00F213C2"/>
    <w:rsid w:val="00F22BBD"/>
    <w:rsid w:val="00F24EDD"/>
    <w:rsid w:val="00F265BC"/>
    <w:rsid w:val="00F32307"/>
    <w:rsid w:val="00F3473D"/>
    <w:rsid w:val="00F36DB9"/>
    <w:rsid w:val="00F413D0"/>
    <w:rsid w:val="00F414D8"/>
    <w:rsid w:val="00F434E0"/>
    <w:rsid w:val="00F43824"/>
    <w:rsid w:val="00F55901"/>
    <w:rsid w:val="00F57DDE"/>
    <w:rsid w:val="00F6144D"/>
    <w:rsid w:val="00F6752F"/>
    <w:rsid w:val="00F9324E"/>
    <w:rsid w:val="00F93F3A"/>
    <w:rsid w:val="00F975BB"/>
    <w:rsid w:val="00F979DB"/>
    <w:rsid w:val="00FA1054"/>
    <w:rsid w:val="00FA3CF0"/>
    <w:rsid w:val="00FB02AB"/>
    <w:rsid w:val="00FB0981"/>
    <w:rsid w:val="00FB6FD5"/>
    <w:rsid w:val="00FC3889"/>
    <w:rsid w:val="00FC3E6A"/>
    <w:rsid w:val="00FC76C1"/>
    <w:rsid w:val="00FD275B"/>
    <w:rsid w:val="00FD5127"/>
    <w:rsid w:val="00FD5756"/>
    <w:rsid w:val="00FE0BCE"/>
    <w:rsid w:val="00FE1A59"/>
    <w:rsid w:val="00FE382F"/>
    <w:rsid w:val="00FE579E"/>
    <w:rsid w:val="00FF08C7"/>
    <w:rsid w:val="00FF6833"/>
    <w:rsid w:val="00FF7A28"/>
    <w:rsid w:val="1A7E898B"/>
    <w:rsid w:val="204D1562"/>
    <w:rsid w:val="2ECD5B58"/>
    <w:rsid w:val="2FEB0167"/>
    <w:rsid w:val="357E7BCA"/>
    <w:rsid w:val="3FE73F33"/>
    <w:rsid w:val="3FF7B4CD"/>
    <w:rsid w:val="425A1E80"/>
    <w:rsid w:val="4A56BDAA"/>
    <w:rsid w:val="4BFFB06F"/>
    <w:rsid w:val="4FFC8041"/>
    <w:rsid w:val="55AE4399"/>
    <w:rsid w:val="5BF77CAD"/>
    <w:rsid w:val="63AC2D96"/>
    <w:rsid w:val="64EFEF2C"/>
    <w:rsid w:val="6DCE1204"/>
    <w:rsid w:val="70FCF87D"/>
    <w:rsid w:val="737FDFB6"/>
    <w:rsid w:val="79FF0124"/>
    <w:rsid w:val="7BF7060D"/>
    <w:rsid w:val="7BFDB576"/>
    <w:rsid w:val="7E0C3BA0"/>
    <w:rsid w:val="7EBD2B33"/>
    <w:rsid w:val="7FEE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DFFD1F"/>
  <w15:docId w15:val="{BB24E934-23F6-4D84-9769-606FEB457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uiPriority="0" w:unhideWhenUsed="1" w:qFormat="1"/>
    <w:lsdException w:name="footnote text" w:semiHidden="1" w:unhideWhenUsed="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unhideWhenUsed="1" w:qFormat="1"/>
    <w:lsdException w:name="Block Text" w:semiHidden="1" w:unhideWhenUsed="1"/>
    <w:lsdException w:name="Hyperlink" w:uiPriority="0" w:unhideWhenUsed="1" w:qFormat="1"/>
    <w:lsdException w:name="FollowedHyperlink"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0"/>
    <w:link w:val="2Char"/>
    <w:qFormat/>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7">
    <w:name w:val="toc 7"/>
    <w:basedOn w:val="a"/>
    <w:next w:val="a"/>
    <w:semiHidden/>
    <w:qFormat/>
    <w:pPr>
      <w:ind w:leftChars="1200" w:left="2520"/>
    </w:pPr>
  </w:style>
  <w:style w:type="paragraph" w:styleId="a4">
    <w:name w:val="annotation text"/>
    <w:basedOn w:val="a"/>
    <w:link w:val="Char"/>
    <w:qFormat/>
    <w:pPr>
      <w:jc w:val="left"/>
    </w:pPr>
  </w:style>
  <w:style w:type="paragraph" w:styleId="a5">
    <w:name w:val="Body Text"/>
    <w:basedOn w:val="a"/>
    <w:link w:val="Char0"/>
    <w:qFormat/>
    <w:pPr>
      <w:spacing w:line="360" w:lineRule="auto"/>
    </w:pPr>
    <w:rPr>
      <w:rFonts w:ascii="仿宋_GB2312" w:eastAsia="仿宋_GB2312"/>
      <w:color w:val="000000"/>
      <w:kern w:val="0"/>
      <w:sz w:val="24"/>
      <w:szCs w:val="28"/>
    </w:rPr>
  </w:style>
  <w:style w:type="paragraph" w:styleId="a6">
    <w:name w:val="Body Text Indent"/>
    <w:basedOn w:val="a"/>
    <w:link w:val="Char1"/>
    <w:qFormat/>
    <w:pPr>
      <w:adjustRightInd w:val="0"/>
      <w:snapToGrid w:val="0"/>
      <w:spacing w:line="560" w:lineRule="exact"/>
      <w:ind w:firstLineChars="200" w:firstLine="480"/>
    </w:pPr>
    <w:rPr>
      <w:rFonts w:eastAsia="方正仿宋简体"/>
      <w:sz w:val="24"/>
      <w:szCs w:val="30"/>
    </w:rPr>
  </w:style>
  <w:style w:type="paragraph" w:styleId="5">
    <w:name w:val="toc 5"/>
    <w:basedOn w:val="a"/>
    <w:next w:val="a"/>
    <w:semiHidden/>
    <w:qFormat/>
    <w:pPr>
      <w:ind w:leftChars="800" w:left="1680"/>
    </w:pPr>
  </w:style>
  <w:style w:type="paragraph" w:styleId="3">
    <w:name w:val="toc 3"/>
    <w:basedOn w:val="a"/>
    <w:next w:val="a"/>
    <w:semiHidden/>
    <w:qFormat/>
    <w:pPr>
      <w:ind w:leftChars="400" w:left="840"/>
    </w:pPr>
  </w:style>
  <w:style w:type="paragraph" w:styleId="8">
    <w:name w:val="toc 8"/>
    <w:basedOn w:val="a"/>
    <w:next w:val="a"/>
    <w:semiHidden/>
    <w:qFormat/>
    <w:pPr>
      <w:ind w:leftChars="1400" w:left="2940"/>
    </w:pPr>
  </w:style>
  <w:style w:type="paragraph" w:styleId="20">
    <w:name w:val="Body Text Indent 2"/>
    <w:basedOn w:val="a"/>
    <w:link w:val="2Char0"/>
    <w:qFormat/>
    <w:pPr>
      <w:spacing w:line="360" w:lineRule="auto"/>
      <w:ind w:firstLine="525"/>
    </w:pPr>
    <w:rPr>
      <w:rFonts w:ascii="宋体" w:hAnsi="宋体"/>
      <w:sz w:val="28"/>
      <w:szCs w:val="20"/>
    </w:rPr>
  </w:style>
  <w:style w:type="paragraph" w:styleId="a7">
    <w:name w:val="Balloon Text"/>
    <w:basedOn w:val="a"/>
    <w:link w:val="Char2"/>
    <w:semiHidden/>
    <w:qFormat/>
    <w:rPr>
      <w:sz w:val="18"/>
      <w:szCs w:val="18"/>
    </w:rPr>
  </w:style>
  <w:style w:type="paragraph" w:styleId="a8">
    <w:name w:val="footer"/>
    <w:basedOn w:val="a"/>
    <w:link w:val="Char10"/>
    <w:uiPriority w:val="99"/>
    <w:unhideWhenUsed/>
    <w:qFormat/>
    <w:pPr>
      <w:tabs>
        <w:tab w:val="center" w:pos="4153"/>
        <w:tab w:val="right" w:pos="8306"/>
      </w:tabs>
      <w:snapToGrid w:val="0"/>
      <w:jc w:val="left"/>
    </w:pPr>
    <w:rPr>
      <w:sz w:val="18"/>
      <w:szCs w:val="18"/>
    </w:rPr>
  </w:style>
  <w:style w:type="paragraph" w:styleId="a9">
    <w:name w:val="header"/>
    <w:basedOn w:val="a"/>
    <w:link w:val="Char11"/>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semiHidden/>
    <w:qFormat/>
  </w:style>
  <w:style w:type="paragraph" w:styleId="4">
    <w:name w:val="toc 4"/>
    <w:basedOn w:val="a"/>
    <w:next w:val="a"/>
    <w:semiHidden/>
    <w:qFormat/>
    <w:pPr>
      <w:ind w:leftChars="600" w:left="1260"/>
    </w:pPr>
  </w:style>
  <w:style w:type="paragraph" w:styleId="6">
    <w:name w:val="toc 6"/>
    <w:basedOn w:val="a"/>
    <w:next w:val="a"/>
    <w:semiHidden/>
    <w:qFormat/>
    <w:pPr>
      <w:ind w:leftChars="1000" w:left="2100"/>
    </w:pPr>
  </w:style>
  <w:style w:type="paragraph" w:styleId="30">
    <w:name w:val="Body Text Indent 3"/>
    <w:basedOn w:val="a"/>
    <w:link w:val="3Char"/>
    <w:qFormat/>
    <w:pPr>
      <w:adjustRightInd w:val="0"/>
      <w:snapToGrid w:val="0"/>
      <w:ind w:firstLineChars="200" w:firstLine="480"/>
    </w:pPr>
    <w:rPr>
      <w:rFonts w:ascii="仿宋_GB2312" w:eastAsia="仿宋_GB2312" w:hAnsi="宋体" w:cs="Arial"/>
      <w:color w:val="000000"/>
      <w:sz w:val="24"/>
    </w:rPr>
  </w:style>
  <w:style w:type="paragraph" w:styleId="21">
    <w:name w:val="toc 2"/>
    <w:basedOn w:val="a"/>
    <w:next w:val="a"/>
    <w:semiHidden/>
    <w:qFormat/>
    <w:pPr>
      <w:ind w:leftChars="200" w:left="420"/>
    </w:pPr>
  </w:style>
  <w:style w:type="paragraph" w:styleId="9">
    <w:name w:val="toc 9"/>
    <w:basedOn w:val="a"/>
    <w:next w:val="a"/>
    <w:semiHidden/>
    <w:qFormat/>
    <w:pPr>
      <w:ind w:leftChars="1600" w:left="3360"/>
    </w:p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a">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ab">
    <w:name w:val="annotation subject"/>
    <w:basedOn w:val="a4"/>
    <w:next w:val="a4"/>
    <w:link w:val="Char3"/>
    <w:qFormat/>
    <w:rPr>
      <w:b/>
      <w:bCs/>
    </w:rPr>
  </w:style>
  <w:style w:type="character" w:styleId="ac">
    <w:name w:val="Strong"/>
    <w:qFormat/>
    <w:rPr>
      <w:b/>
      <w:bCs/>
    </w:rPr>
  </w:style>
  <w:style w:type="character" w:styleId="ad">
    <w:name w:val="page number"/>
    <w:qFormat/>
  </w:style>
  <w:style w:type="character" w:styleId="ae">
    <w:name w:val="FollowedHyperlink"/>
    <w:uiPriority w:val="99"/>
    <w:unhideWhenUsed/>
    <w:qFormat/>
    <w:rPr>
      <w:color w:val="800080"/>
      <w:u w:val="single"/>
    </w:rPr>
  </w:style>
  <w:style w:type="character" w:styleId="af">
    <w:name w:val="Hyperlink"/>
    <w:qFormat/>
    <w:rPr>
      <w:color w:val="0000FF"/>
      <w:u w:val="single"/>
    </w:rPr>
  </w:style>
  <w:style w:type="character" w:styleId="af0">
    <w:name w:val="annotation reference"/>
    <w:qFormat/>
    <w:rPr>
      <w:sz w:val="21"/>
      <w:szCs w:val="21"/>
    </w:rPr>
  </w:style>
  <w:style w:type="character" w:customStyle="1" w:styleId="Char11">
    <w:name w:val="页眉 Char1"/>
    <w:link w:val="a9"/>
    <w:uiPriority w:val="99"/>
    <w:qFormat/>
    <w:rPr>
      <w:sz w:val="18"/>
      <w:szCs w:val="18"/>
    </w:rPr>
  </w:style>
  <w:style w:type="character" w:customStyle="1" w:styleId="Char10">
    <w:name w:val="页脚 Char1"/>
    <w:link w:val="a8"/>
    <w:uiPriority w:val="99"/>
    <w:qFormat/>
    <w:rPr>
      <w:sz w:val="18"/>
      <w:szCs w:val="18"/>
    </w:rPr>
  </w:style>
  <w:style w:type="character" w:customStyle="1" w:styleId="22">
    <w:name w:val="标题 2 字符"/>
    <w:uiPriority w:val="9"/>
    <w:semiHidden/>
    <w:qFormat/>
    <w:rPr>
      <w:rFonts w:ascii="等线 Light" w:eastAsia="等线 Light" w:hAnsi="等线 Light" w:cs="Times New Roman"/>
      <w:b/>
      <w:bCs/>
      <w:sz w:val="32"/>
      <w:szCs w:val="32"/>
    </w:rPr>
  </w:style>
  <w:style w:type="character" w:customStyle="1" w:styleId="Char4">
    <w:name w:val="页眉 Char"/>
    <w:uiPriority w:val="99"/>
    <w:qFormat/>
    <w:rPr>
      <w:sz w:val="18"/>
      <w:szCs w:val="18"/>
    </w:rPr>
  </w:style>
  <w:style w:type="character" w:customStyle="1" w:styleId="Char5">
    <w:name w:val="页脚 Char"/>
    <w:uiPriority w:val="99"/>
    <w:qFormat/>
    <w:rPr>
      <w:sz w:val="18"/>
      <w:szCs w:val="18"/>
    </w:rPr>
  </w:style>
  <w:style w:type="character" w:customStyle="1" w:styleId="2Char">
    <w:name w:val="标题 2 Char"/>
    <w:link w:val="2"/>
    <w:qFormat/>
    <w:rPr>
      <w:rFonts w:ascii="Arial" w:eastAsia="黑体" w:hAnsi="Arial" w:cs="Times New Roman"/>
      <w:b/>
      <w:sz w:val="32"/>
      <w:szCs w:val="20"/>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character" w:customStyle="1" w:styleId="af1">
    <w:name w:val="正文文本 字符"/>
    <w:uiPriority w:val="99"/>
    <w:semiHidden/>
    <w:qFormat/>
    <w:rPr>
      <w:rFonts w:ascii="Times New Roman" w:eastAsia="宋体" w:hAnsi="Times New Roman" w:cs="Times New Roman"/>
      <w:szCs w:val="24"/>
    </w:rPr>
  </w:style>
  <w:style w:type="character" w:customStyle="1" w:styleId="Char0">
    <w:name w:val="正文文本 Char"/>
    <w:link w:val="a5"/>
    <w:qFormat/>
    <w:rPr>
      <w:rFonts w:ascii="仿宋_GB2312" w:eastAsia="仿宋_GB2312" w:hAnsi="Times New Roman" w:cs="Times New Roman"/>
      <w:color w:val="000000"/>
      <w:kern w:val="0"/>
      <w:sz w:val="24"/>
      <w:szCs w:val="28"/>
    </w:rPr>
  </w:style>
  <w:style w:type="character" w:customStyle="1" w:styleId="read">
    <w:name w:val="read"/>
    <w:qFormat/>
  </w:style>
  <w:style w:type="character" w:customStyle="1" w:styleId="af2">
    <w:name w:val="正文文本缩进 字符"/>
    <w:uiPriority w:val="99"/>
    <w:semiHidden/>
    <w:qFormat/>
    <w:rPr>
      <w:rFonts w:ascii="Times New Roman" w:eastAsia="宋体" w:hAnsi="Times New Roman" w:cs="Times New Roman"/>
      <w:szCs w:val="24"/>
    </w:rPr>
  </w:style>
  <w:style w:type="character" w:customStyle="1" w:styleId="Char1">
    <w:name w:val="正文文本缩进 Char"/>
    <w:link w:val="a6"/>
    <w:qFormat/>
    <w:rPr>
      <w:rFonts w:ascii="Times New Roman" w:eastAsia="方正仿宋简体" w:hAnsi="Times New Roman" w:cs="Times New Roman"/>
      <w:sz w:val="24"/>
      <w:szCs w:val="30"/>
    </w:rPr>
  </w:style>
  <w:style w:type="character" w:customStyle="1" w:styleId="23">
    <w:name w:val="正文文本缩进 2 字符"/>
    <w:uiPriority w:val="99"/>
    <w:semiHidden/>
    <w:qFormat/>
    <w:rPr>
      <w:rFonts w:ascii="Times New Roman" w:eastAsia="宋体" w:hAnsi="Times New Roman" w:cs="Times New Roman"/>
      <w:szCs w:val="24"/>
    </w:rPr>
  </w:style>
  <w:style w:type="character" w:customStyle="1" w:styleId="2Char0">
    <w:name w:val="正文文本缩进 2 Char"/>
    <w:link w:val="20"/>
    <w:qFormat/>
    <w:rPr>
      <w:rFonts w:ascii="宋体" w:eastAsia="宋体" w:hAnsi="宋体" w:cs="Times New Roman"/>
      <w:sz w:val="28"/>
      <w:szCs w:val="20"/>
    </w:rPr>
  </w:style>
  <w:style w:type="character" w:customStyle="1" w:styleId="31">
    <w:name w:val="正文文本缩进 3 字符"/>
    <w:uiPriority w:val="99"/>
    <w:semiHidden/>
    <w:qFormat/>
    <w:rPr>
      <w:rFonts w:ascii="Times New Roman" w:eastAsia="宋体" w:hAnsi="Times New Roman" w:cs="Times New Roman"/>
      <w:sz w:val="16"/>
      <w:szCs w:val="16"/>
    </w:rPr>
  </w:style>
  <w:style w:type="character" w:customStyle="1" w:styleId="3Char">
    <w:name w:val="正文文本缩进 3 Char"/>
    <w:link w:val="30"/>
    <w:qFormat/>
    <w:rPr>
      <w:rFonts w:ascii="仿宋_GB2312" w:eastAsia="仿宋_GB2312" w:hAnsi="宋体" w:cs="Arial"/>
      <w:color w:val="000000"/>
      <w:sz w:val="24"/>
      <w:szCs w:val="24"/>
    </w:rPr>
  </w:style>
  <w:style w:type="character" w:customStyle="1" w:styleId="af3">
    <w:name w:val="批注框文本 字符"/>
    <w:uiPriority w:val="99"/>
    <w:semiHidden/>
    <w:qFormat/>
    <w:rPr>
      <w:rFonts w:ascii="Times New Roman" w:eastAsia="宋体" w:hAnsi="Times New Roman" w:cs="Times New Roman"/>
      <w:sz w:val="18"/>
      <w:szCs w:val="18"/>
    </w:rPr>
  </w:style>
  <w:style w:type="character" w:customStyle="1" w:styleId="Char2">
    <w:name w:val="批注框文本 Char"/>
    <w:link w:val="a7"/>
    <w:semiHidden/>
    <w:qFormat/>
    <w:rPr>
      <w:rFonts w:ascii="Times New Roman" w:eastAsia="宋体" w:hAnsi="Times New Roman" w:cs="Times New Roman"/>
      <w:sz w:val="18"/>
      <w:szCs w:val="18"/>
    </w:rPr>
  </w:style>
  <w:style w:type="paragraph" w:customStyle="1" w:styleId="Char6">
    <w:name w:val="Char"/>
    <w:basedOn w:val="a"/>
    <w:qFormat/>
  </w:style>
  <w:style w:type="paragraph" w:customStyle="1" w:styleId="Char12">
    <w:name w:val="Char1"/>
    <w:basedOn w:val="a"/>
    <w:qFormat/>
    <w:pPr>
      <w:tabs>
        <w:tab w:val="left" w:pos="832"/>
      </w:tabs>
      <w:ind w:left="832" w:hanging="420"/>
      <w:jc w:val="center"/>
    </w:pPr>
    <w:rPr>
      <w:rFonts w:ascii="楷体_GB2312" w:eastAsia="楷体_GB2312"/>
      <w:b/>
      <w:color w:val="000080"/>
      <w:sz w:val="30"/>
      <w:szCs w:val="30"/>
    </w:rPr>
  </w:style>
  <w:style w:type="paragraph" w:customStyle="1" w:styleId="CharCharChar">
    <w:name w:val="Char Char Char"/>
    <w:basedOn w:val="a"/>
    <w:qFormat/>
  </w:style>
  <w:style w:type="character" w:customStyle="1" w:styleId="af4">
    <w:name w:val="批注文字 字符"/>
    <w:semiHidden/>
    <w:qFormat/>
    <w:rPr>
      <w:rFonts w:ascii="Times New Roman" w:eastAsia="宋体" w:hAnsi="Times New Roman" w:cs="Times New Roman"/>
      <w:szCs w:val="24"/>
    </w:rPr>
  </w:style>
  <w:style w:type="character" w:customStyle="1" w:styleId="Char">
    <w:name w:val="批注文字 Char"/>
    <w:link w:val="a4"/>
    <w:qFormat/>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qFormat/>
  </w:style>
  <w:style w:type="paragraph" w:customStyle="1" w:styleId="CharChar">
    <w:name w:val="Char Char"/>
    <w:basedOn w:val="a"/>
    <w:qFormat/>
    <w:rPr>
      <w:szCs w:val="20"/>
    </w:rPr>
  </w:style>
  <w:style w:type="character" w:customStyle="1" w:styleId="HTML0">
    <w:name w:val="HTML 预设格式 字符"/>
    <w:uiPriority w:val="99"/>
    <w:semiHidden/>
    <w:qFormat/>
    <w:rPr>
      <w:rFonts w:ascii="Courier New" w:eastAsia="宋体" w:hAnsi="Courier New" w:cs="Courier New"/>
      <w:sz w:val="20"/>
      <w:szCs w:val="20"/>
    </w:rPr>
  </w:style>
  <w:style w:type="character" w:customStyle="1" w:styleId="HTMLChar">
    <w:name w:val="HTML 预设格式 Char"/>
    <w:link w:val="HTML"/>
    <w:uiPriority w:val="99"/>
    <w:qFormat/>
    <w:rPr>
      <w:rFonts w:ascii="宋体" w:eastAsia="宋体" w:hAnsi="宋体" w:cs="宋体"/>
      <w:kern w:val="0"/>
      <w:sz w:val="24"/>
      <w:szCs w:val="24"/>
    </w:rPr>
  </w:style>
  <w:style w:type="character" w:customStyle="1" w:styleId="af5">
    <w:name w:val="批注主题 字符"/>
    <w:uiPriority w:val="99"/>
    <w:semiHidden/>
    <w:qFormat/>
    <w:rPr>
      <w:rFonts w:ascii="Times New Roman" w:eastAsia="宋体" w:hAnsi="Times New Roman" w:cs="Times New Roman"/>
      <w:b/>
      <w:bCs/>
      <w:szCs w:val="24"/>
    </w:rPr>
  </w:style>
  <w:style w:type="character" w:customStyle="1" w:styleId="Char3">
    <w:name w:val="批注主题 Char"/>
    <w:link w:val="ab"/>
    <w:qFormat/>
    <w:rPr>
      <w:rFonts w:ascii="Times New Roman" w:eastAsia="宋体" w:hAnsi="Times New Roman" w:cs="Times New Roman"/>
      <w:b/>
      <w:bCs/>
      <w:szCs w:val="24"/>
    </w:rPr>
  </w:style>
  <w:style w:type="paragraph" w:customStyle="1" w:styleId="10">
    <w:name w:val="修订1"/>
    <w:uiPriority w:val="99"/>
    <w:semiHidden/>
    <w:qFormat/>
    <w:rPr>
      <w:kern w:val="2"/>
      <w:sz w:val="21"/>
      <w:szCs w:val="24"/>
    </w:rPr>
  </w:style>
  <w:style w:type="character" w:customStyle="1" w:styleId="im-content1">
    <w:name w:val="im-content1"/>
    <w:qFormat/>
    <w:rPr>
      <w:color w:val="000000"/>
    </w:rPr>
  </w:style>
  <w:style w:type="character" w:customStyle="1" w:styleId="24">
    <w:name w:val="页眉 字符2"/>
    <w:qFormat/>
    <w:rPr>
      <w:rFonts w:ascii="Times New Roman" w:eastAsia="宋体" w:hAnsi="Times New Roman" w:cs="Times New Roman"/>
      <w:sz w:val="18"/>
      <w:szCs w:val="18"/>
    </w:rPr>
  </w:style>
  <w:style w:type="character" w:customStyle="1" w:styleId="25">
    <w:name w:val="批注文字 字符2"/>
    <w:uiPriority w:val="99"/>
    <w:qFormat/>
    <w:rPr>
      <w:rFonts w:ascii="Times New Roman" w:eastAsia="宋体" w:hAnsi="Times New Roman" w:cs="Times New Roman"/>
      <w:szCs w:val="24"/>
    </w:rPr>
  </w:style>
  <w:style w:type="character" w:customStyle="1" w:styleId="310">
    <w:name w:val="正文文本缩进 3 字符1"/>
    <w:qFormat/>
    <w:rPr>
      <w:rFonts w:ascii="仿宋_GB2312" w:eastAsia="仿宋_GB2312" w:hAnsi="宋体" w:cs="Arial"/>
      <w:color w:val="000000"/>
      <w:sz w:val="24"/>
      <w:szCs w:val="24"/>
    </w:rPr>
  </w:style>
  <w:style w:type="character" w:customStyle="1" w:styleId="11">
    <w:name w:val="批注框文本 字符1"/>
    <w:semiHidden/>
    <w:qFormat/>
    <w:rPr>
      <w:rFonts w:ascii="Times New Roman" w:eastAsia="宋体" w:hAnsi="Times New Roman" w:cs="Times New Roman"/>
      <w:sz w:val="18"/>
      <w:szCs w:val="18"/>
    </w:rPr>
  </w:style>
  <w:style w:type="character" w:customStyle="1" w:styleId="12">
    <w:name w:val="正文文本缩进 字符1"/>
    <w:qFormat/>
    <w:rPr>
      <w:rFonts w:ascii="Times New Roman" w:eastAsia="方正仿宋简体" w:hAnsi="Times New Roman" w:cs="Times New Roman"/>
      <w:sz w:val="24"/>
      <w:szCs w:val="30"/>
    </w:rPr>
  </w:style>
  <w:style w:type="character" w:customStyle="1" w:styleId="210">
    <w:name w:val="正文文本缩进 2 字符1"/>
    <w:qFormat/>
    <w:rPr>
      <w:rFonts w:ascii="宋体" w:eastAsia="宋体" w:hAnsi="宋体" w:cs="Times New Roman"/>
      <w:sz w:val="28"/>
      <w:szCs w:val="20"/>
    </w:rPr>
  </w:style>
  <w:style w:type="character" w:customStyle="1" w:styleId="13">
    <w:name w:val="批注主题 字符1"/>
    <w:qFormat/>
    <w:rPr>
      <w:rFonts w:ascii="Times New Roman" w:eastAsia="宋体" w:hAnsi="Times New Roman" w:cs="Times New Roman"/>
      <w:b/>
      <w:bCs/>
      <w:szCs w:val="24"/>
    </w:rPr>
  </w:style>
  <w:style w:type="character" w:customStyle="1" w:styleId="211">
    <w:name w:val="标题 2 字符1"/>
    <w:qFormat/>
    <w:rPr>
      <w:rFonts w:ascii="Arial" w:eastAsia="黑体" w:hAnsi="Arial" w:cs="Times New Roman"/>
      <w:b/>
      <w:sz w:val="32"/>
      <w:szCs w:val="20"/>
    </w:rPr>
  </w:style>
  <w:style w:type="character" w:customStyle="1" w:styleId="14">
    <w:name w:val="批注文字 字符1"/>
    <w:qFormat/>
    <w:rPr>
      <w:rFonts w:ascii="Times New Roman" w:eastAsia="宋体" w:hAnsi="Times New Roman" w:cs="Times New Roman"/>
      <w:szCs w:val="24"/>
    </w:rPr>
  </w:style>
  <w:style w:type="character" w:customStyle="1" w:styleId="15">
    <w:name w:val="正文文本 字符1"/>
    <w:qFormat/>
    <w:rPr>
      <w:rFonts w:ascii="仿宋_GB2312" w:eastAsia="仿宋_GB2312" w:hAnsi="Times New Roman" w:cs="Times New Roman"/>
      <w:color w:val="000000"/>
      <w:kern w:val="0"/>
      <w:sz w:val="24"/>
      <w:szCs w:val="28"/>
    </w:rPr>
  </w:style>
  <w:style w:type="character" w:customStyle="1" w:styleId="HTML1">
    <w:name w:val="HTML 预设格式 字符1"/>
    <w:uiPriority w:val="99"/>
    <w:qFormat/>
    <w:rPr>
      <w:rFonts w:ascii="宋体" w:eastAsia="宋体" w:hAnsi="宋体" w:cs="宋体"/>
      <w:kern w:val="0"/>
      <w:sz w:val="24"/>
      <w:szCs w:val="24"/>
    </w:rPr>
  </w:style>
  <w:style w:type="paragraph" w:customStyle="1" w:styleId="26">
    <w:name w:val="修订2"/>
    <w:hidden/>
    <w:uiPriority w:val="99"/>
    <w:semiHidden/>
    <w:qFormat/>
    <w:rPr>
      <w:kern w:val="2"/>
      <w:sz w:val="21"/>
      <w:szCs w:val="24"/>
    </w:rPr>
  </w:style>
  <w:style w:type="paragraph" w:customStyle="1" w:styleId="32">
    <w:name w:val="修订3"/>
    <w:hidden/>
    <w:uiPriority w:val="99"/>
    <w:unhideWhenUsed/>
    <w:qFormat/>
    <w:rPr>
      <w:kern w:val="2"/>
      <w:sz w:val="21"/>
      <w:szCs w:val="24"/>
    </w:rPr>
  </w:style>
  <w:style w:type="paragraph" w:customStyle="1" w:styleId="40">
    <w:name w:val="修订4"/>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v4.wkinfo.com.cn/document/show?collection=legislation&amp;aid=MTAxMDAxMzQ2NTE%3D&amp;language=%E4%B8%AD%E6%96%8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A6807-C0D4-4349-84FA-B72C19DBF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45</Pages>
  <Words>5205</Words>
  <Characters>29671</Characters>
  <Application>Microsoft Office Word</Application>
  <DocSecurity>0</DocSecurity>
  <Lines>247</Lines>
  <Paragraphs>69</Paragraphs>
  <ScaleCrop>false</ScaleCrop>
  <Company>神州网信技术有限公司</Company>
  <LinksUpToDate>false</LinksUpToDate>
  <CharactersWithSpaces>34807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应灏</cp:lastModifiedBy>
  <cp:revision>8</cp:revision>
  <cp:lastPrinted>2025-11-19T06:03:00Z</cp:lastPrinted>
  <dcterms:created xsi:type="dcterms:W3CDTF">2026-05-13T03:14:00Z</dcterms:created>
  <dcterms:modified xsi:type="dcterms:W3CDTF">2026-08-18T01:48:00Z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14F7EF8361914FC89811B8345C1AD1F3_13</vt:lpwstr>
  </property>
  <property fmtid="{D5CDD505-2E9C-101B-9397-08002B2CF9AE}" pid="4" name="KSOTemplateDocerSaveRecord">
    <vt:lpwstr>eyJoZGlkIjoiODhjYzVlNWM1MmM3MDdjZGVhNTBiNzI2MjYwYTQ3MDUiLCJ1c2VySWQiOiIzMDIwMTM0MjgifQ==</vt:lpwstr>
  </property>
</Properties>
</file>