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彩虹粗仿宋" w:hAnsi="彩虹粗仿宋" w:eastAsia="彩虹粗仿宋" w:cs="彩虹粗仿宋"/>
          <w:b/>
          <w:snapToGrid w:val="0"/>
          <w:kern w:val="0"/>
          <w:sz w:val="28"/>
          <w:szCs w:val="28"/>
        </w:rPr>
      </w:pPr>
      <w:r>
        <w:rPr>
          <w:rFonts w:hint="eastAsia" w:ascii="彩虹粗仿宋" w:hAnsi="彩虹粗仿宋" w:eastAsia="彩虹粗仿宋" w:cs="彩虹粗仿宋"/>
          <w:b/>
          <w:snapToGrid w:val="0"/>
          <w:kern w:val="0"/>
          <w:sz w:val="28"/>
          <w:szCs w:val="28"/>
        </w:rPr>
        <w:t>2026-2028年建行厦门市分行业务辅助服务外包采购需求</w:t>
      </w:r>
    </w:p>
    <w:p>
      <w:pPr>
        <w:spacing w:line="360" w:lineRule="auto"/>
        <w:ind w:firstLine="560" w:firstLineChars="200"/>
        <w:rPr>
          <w:rFonts w:ascii="彩虹粗仿宋" w:hAnsi="彩虹粗仿宋" w:eastAsia="彩虹粗仿宋" w:cs="彩虹粗仿宋"/>
          <w:snapToGrid w:val="0"/>
          <w:kern w:val="0"/>
          <w:sz w:val="28"/>
          <w:szCs w:val="28"/>
        </w:rPr>
      </w:pPr>
    </w:p>
    <w:p>
      <w:pPr>
        <w:spacing w:line="360" w:lineRule="auto"/>
        <w:rPr>
          <w:rFonts w:ascii="彩虹粗仿宋" w:hAnsi="彩虹粗仿宋" w:eastAsia="彩虹粗仿宋" w:cs="彩虹粗仿宋"/>
          <w:bCs/>
          <w:sz w:val="28"/>
          <w:szCs w:val="28"/>
        </w:rPr>
      </w:pPr>
      <w:r>
        <w:rPr>
          <w:rFonts w:hint="eastAsia" w:ascii="彩虹粗仿宋" w:hAnsi="彩虹粗仿宋" w:eastAsia="彩虹粗仿宋" w:cs="彩虹粗仿宋"/>
          <w:b/>
          <w:sz w:val="28"/>
          <w:szCs w:val="28"/>
        </w:rPr>
        <w:t>一</w:t>
      </w:r>
      <w:r>
        <w:rPr>
          <w:rFonts w:hint="eastAsia" w:ascii="彩虹粗仿宋" w:hAnsi="彩虹粗仿宋" w:eastAsia="彩虹粗仿宋" w:cs="彩虹粗仿宋"/>
          <w:b/>
          <w:bCs/>
          <w:sz w:val="28"/>
          <w:szCs w:val="28"/>
        </w:rPr>
        <w:t>、服务供应商要求</w:t>
      </w:r>
    </w:p>
    <w:p>
      <w:pPr>
        <w:ind w:firstLine="560" w:firstLineChars="200"/>
        <w:rPr>
          <w:rFonts w:ascii="彩虹粗仿宋" w:hAnsi="彩虹粗仿宋" w:eastAsia="彩虹粗仿宋" w:cs="彩虹粗仿宋"/>
          <w:b/>
          <w:sz w:val="28"/>
          <w:szCs w:val="28"/>
        </w:rPr>
      </w:pPr>
      <w:r>
        <w:rPr>
          <w:rFonts w:hint="eastAsia" w:ascii="彩虹粗仿宋" w:hAnsi="彩虹粗仿宋" w:eastAsia="彩虹粗仿宋" w:cs="彩虹粗仿宋"/>
          <w:bCs/>
          <w:kern w:val="0"/>
          <w:sz w:val="28"/>
          <w:szCs w:val="28"/>
        </w:rPr>
        <w:t>详见投标资格条款</w:t>
      </w:r>
    </w:p>
    <w:p>
      <w:pPr>
        <w:spacing w:line="360" w:lineRule="auto"/>
        <w:rPr>
          <w:rFonts w:ascii="彩虹粗仿宋" w:hAnsi="彩虹粗仿宋" w:eastAsia="彩虹粗仿宋" w:cs="彩虹粗仿宋"/>
          <w:b/>
          <w:sz w:val="28"/>
          <w:szCs w:val="28"/>
        </w:rPr>
      </w:pPr>
      <w:r>
        <w:rPr>
          <w:rFonts w:hint="eastAsia" w:ascii="彩虹粗仿宋" w:hAnsi="彩虹粗仿宋" w:eastAsia="彩虹粗仿宋" w:cs="彩虹粗仿宋"/>
          <w:b/>
          <w:sz w:val="28"/>
          <w:szCs w:val="28"/>
        </w:rPr>
        <w:t>二、服务品类</w:t>
      </w:r>
    </w:p>
    <w:p>
      <w:pPr>
        <w:spacing w:line="360" w:lineRule="auto"/>
        <w:ind w:firstLine="560" w:firstLineChars="200"/>
        <w:rPr>
          <w:rFonts w:ascii="彩虹粗仿宋" w:hAnsi="彩虹粗仿宋" w:eastAsia="彩虹粗仿宋" w:cs="彩虹粗仿宋"/>
          <w:snapToGrid w:val="0"/>
          <w:kern w:val="0"/>
          <w:sz w:val="28"/>
          <w:szCs w:val="28"/>
        </w:rPr>
      </w:pPr>
      <w:r>
        <w:rPr>
          <w:rFonts w:hint="eastAsia" w:ascii="彩虹粗仿宋" w:hAnsi="彩虹粗仿宋" w:eastAsia="彩虹粗仿宋" w:cs="彩虹粗仿宋"/>
          <w:snapToGrid w:val="0"/>
          <w:kern w:val="0"/>
          <w:sz w:val="28"/>
          <w:szCs w:val="28"/>
        </w:rPr>
        <w:t>本次采购</w:t>
      </w:r>
      <w:bookmarkStart w:id="1" w:name="_GoBack"/>
      <w:r>
        <w:rPr>
          <w:rFonts w:hint="eastAsia" w:ascii="彩虹粗仿宋" w:hAnsi="彩虹粗仿宋" w:eastAsia="彩虹粗仿宋" w:cs="彩虹粗仿宋"/>
          <w:snapToGrid w:val="0"/>
          <w:kern w:val="0"/>
          <w:sz w:val="28"/>
          <w:szCs w:val="28"/>
        </w:rPr>
        <w:t>服务所</w:t>
      </w:r>
      <w:bookmarkEnd w:id="1"/>
      <w:r>
        <w:rPr>
          <w:rFonts w:hint="eastAsia" w:ascii="彩虹粗仿宋" w:hAnsi="彩虹粗仿宋" w:eastAsia="彩虹粗仿宋" w:cs="彩虹粗仿宋"/>
          <w:snapToGrid w:val="0"/>
          <w:kern w:val="0"/>
          <w:sz w:val="28"/>
          <w:szCs w:val="28"/>
        </w:rPr>
        <w:t>属商品品类为</w:t>
      </w:r>
      <w:r>
        <w:rPr>
          <w:rFonts w:hint="eastAsia" w:ascii="彩虹粗仿宋" w:hAnsi="彩虹粗仿宋" w:eastAsia="彩虹粗仿宋" w:cs="彩虹粗仿宋"/>
          <w:snapToGrid w:val="0"/>
          <w:kern w:val="0"/>
          <w:sz w:val="28"/>
          <w:szCs w:val="28"/>
          <w:lang w:eastAsia="zh"/>
        </w:rPr>
        <w:t>网络金融业务辅助服务和</w:t>
      </w:r>
      <w:r>
        <w:rPr>
          <w:rFonts w:hint="eastAsia" w:ascii="彩虹粗仿宋" w:hAnsi="彩虹粗仿宋" w:eastAsia="彩虹粗仿宋" w:cs="彩虹粗仿宋"/>
          <w:snapToGrid w:val="0"/>
          <w:kern w:val="0"/>
          <w:sz w:val="28"/>
          <w:szCs w:val="28"/>
        </w:rPr>
        <w:t>信用卡分期业务辅助服务</w:t>
      </w:r>
      <w:r>
        <w:rPr>
          <w:rFonts w:hint="eastAsia" w:ascii="彩虹粗仿宋" w:hAnsi="彩虹粗仿宋" w:eastAsia="彩虹粗仿宋" w:cs="彩虹粗仿宋"/>
          <w:snapToGrid w:val="0"/>
          <w:kern w:val="0"/>
          <w:sz w:val="28"/>
          <w:szCs w:val="28"/>
          <w:highlight w:val="yellow"/>
        </w:rPr>
        <w:t>（营销辅助及推广服务）</w:t>
      </w:r>
      <w:r>
        <w:rPr>
          <w:rFonts w:hint="eastAsia" w:ascii="彩虹粗仿宋" w:hAnsi="彩虹粗仿宋" w:eastAsia="彩虹粗仿宋" w:cs="彩虹粗仿宋"/>
          <w:snapToGrid w:val="0"/>
          <w:kern w:val="0"/>
          <w:sz w:val="28"/>
          <w:szCs w:val="28"/>
        </w:rPr>
        <w:t>。</w:t>
      </w:r>
    </w:p>
    <w:p>
      <w:pPr>
        <w:numPr>
          <w:ilvl w:val="255"/>
          <w:numId w:val="0"/>
        </w:numPr>
        <w:spacing w:line="360" w:lineRule="auto"/>
        <w:rPr>
          <w:rFonts w:ascii="彩虹粗仿宋" w:hAnsi="彩虹粗仿宋" w:eastAsia="彩虹粗仿宋" w:cs="彩虹粗仿宋"/>
          <w:b/>
          <w:sz w:val="28"/>
          <w:szCs w:val="28"/>
        </w:rPr>
      </w:pPr>
      <w:r>
        <w:rPr>
          <w:rFonts w:hint="eastAsia" w:ascii="彩虹粗仿宋" w:hAnsi="彩虹粗仿宋" w:eastAsia="彩虹粗仿宋" w:cs="彩虹粗仿宋"/>
          <w:b/>
          <w:sz w:val="28"/>
          <w:szCs w:val="28"/>
        </w:rPr>
        <w:t>三、服务内容</w:t>
      </w:r>
    </w:p>
    <w:p>
      <w:pPr>
        <w:spacing w:line="360" w:lineRule="auto"/>
        <w:ind w:firstLine="560" w:firstLineChars="200"/>
        <w:rPr>
          <w:rFonts w:ascii="彩虹粗仿宋" w:hAnsi="彩虹粗仿宋" w:eastAsia="彩虹粗仿宋" w:cs="彩虹粗仿宋"/>
          <w:sz w:val="28"/>
          <w:szCs w:val="28"/>
        </w:rPr>
      </w:pPr>
      <w:r>
        <w:rPr>
          <w:rFonts w:hint="eastAsia" w:ascii="彩虹粗仿宋" w:hAnsi="彩虹粗仿宋" w:eastAsia="彩虹粗仿宋" w:cs="彩虹粗仿宋"/>
          <w:sz w:val="28"/>
          <w:szCs w:val="28"/>
        </w:rPr>
        <w:t>业务辅助服务外包内容如下：</w:t>
      </w:r>
    </w:p>
    <w:p>
      <w:pPr>
        <w:pStyle w:val="11"/>
        <w:ind w:firstLine="560"/>
        <w:rPr>
          <w:rFonts w:ascii="彩虹粗仿宋" w:hAnsi="彩虹粗仿宋" w:eastAsia="彩虹粗仿宋" w:cs="彩虹粗仿宋"/>
          <w:b/>
          <w:sz w:val="28"/>
          <w:szCs w:val="28"/>
        </w:rPr>
      </w:pPr>
      <w:r>
        <w:rPr>
          <w:rFonts w:hint="eastAsia" w:ascii="彩虹粗仿宋" w:hAnsi="彩虹粗仿宋" w:eastAsia="彩虹粗仿宋" w:cs="彩虹粗仿宋"/>
          <w:b/>
          <w:bCs/>
          <w:sz w:val="28"/>
          <w:szCs w:val="28"/>
        </w:rPr>
        <w:t>1.标段一：</w:t>
      </w:r>
      <w:r>
        <w:rPr>
          <w:rFonts w:hint="eastAsia" w:ascii="彩虹粗仿宋" w:hAnsi="彩虹粗仿宋" w:eastAsia="彩虹粗仿宋" w:cs="彩虹粗仿宋"/>
          <w:b/>
          <w:bCs/>
          <w:sz w:val="28"/>
          <w:szCs w:val="28"/>
          <w:lang w:eastAsia="zh"/>
        </w:rPr>
        <w:t>网络金融业务辅助服务和</w:t>
      </w:r>
      <w:r>
        <w:rPr>
          <w:rFonts w:hint="eastAsia" w:ascii="彩虹粗仿宋" w:hAnsi="彩虹粗仿宋" w:eastAsia="彩虹粗仿宋" w:cs="彩虹粗仿宋"/>
          <w:b/>
          <w:sz w:val="28"/>
          <w:szCs w:val="28"/>
        </w:rPr>
        <w:t>分期业务辅助服务(活动宣传及咨询、辅助维护合作单位、辅助产品推介)</w:t>
      </w:r>
    </w:p>
    <w:p>
      <w:pPr>
        <w:pStyle w:val="11"/>
        <w:ind w:firstLine="560"/>
        <w:rPr>
          <w:rFonts w:ascii="彩虹粗仿宋" w:hAnsi="宋体" w:eastAsia="彩虹粗仿宋" w:cs="Times New Roman"/>
          <w:sz w:val="28"/>
          <w:szCs w:val="28"/>
        </w:rPr>
      </w:pPr>
      <w:r>
        <w:rPr>
          <w:rFonts w:hint="eastAsia" w:ascii="彩虹粗仿宋" w:hAnsi="彩虹粗仿宋" w:eastAsia="彩虹粗仿宋" w:cs="彩虹粗仿宋"/>
          <w:sz w:val="28"/>
          <w:szCs w:val="28"/>
        </w:rPr>
        <w:t xml:space="preserve">1.1 </w:t>
      </w:r>
      <w:r>
        <w:rPr>
          <w:rFonts w:hint="eastAsia" w:ascii="彩虹粗仿宋" w:hAnsi="彩虹粗仿宋" w:eastAsia="彩虹粗仿宋" w:cs="彩虹粗仿宋"/>
          <w:sz w:val="28"/>
          <w:szCs w:val="28"/>
          <w:lang w:eastAsia="zh"/>
        </w:rPr>
        <w:t>网络金融业务辅助服务</w:t>
      </w:r>
      <w:r>
        <w:rPr>
          <w:rFonts w:hint="eastAsia" w:ascii="彩虹粗仿宋" w:hAnsi="彩虹粗仿宋" w:eastAsia="彩虹粗仿宋" w:cs="彩虹粗仿宋"/>
          <w:sz w:val="28"/>
          <w:szCs w:val="28"/>
        </w:rPr>
        <w:t>：服务</w:t>
      </w:r>
      <w:r>
        <w:rPr>
          <w:rFonts w:hint="eastAsia" w:ascii="彩虹粗仿宋" w:hAnsi="彩虹粗仿宋" w:eastAsia="彩虹粗仿宋" w:cs="彩虹粗仿宋"/>
          <w:sz w:val="28"/>
          <w:szCs w:val="28"/>
          <w:lang w:eastAsia="zh"/>
        </w:rPr>
        <w:t>内容为</w:t>
      </w:r>
      <w:r>
        <w:rPr>
          <w:rFonts w:hint="eastAsia" w:ascii="彩虹粗仿宋" w:hAnsi="彩虹粗仿宋" w:eastAsia="彩虹粗仿宋" w:cs="彩虹粗仿宋"/>
          <w:sz w:val="28"/>
          <w:szCs w:val="28"/>
          <w:lang w:bidi="ar"/>
        </w:rPr>
        <w:t>权益活动宣导，指导客户开通手机银行等应用程序并指导客户操作、辅助开展第三方绑卡等服务。</w:t>
      </w:r>
    </w:p>
    <w:p>
      <w:pPr>
        <w:pStyle w:val="11"/>
        <w:ind w:firstLine="560"/>
        <w:rPr>
          <w:rFonts w:ascii="彩虹粗仿宋" w:hAnsi="彩虹粗仿宋" w:eastAsia="彩虹粗仿宋" w:cs="彩虹粗仿宋"/>
          <w:bCs/>
          <w:sz w:val="28"/>
          <w:szCs w:val="28"/>
        </w:rPr>
      </w:pPr>
      <w:r>
        <w:rPr>
          <w:rFonts w:hint="eastAsia" w:ascii="彩虹粗仿宋" w:hAnsi="彩虹粗仿宋" w:eastAsia="彩虹粗仿宋" w:cs="彩虹粗仿宋"/>
          <w:sz w:val="28"/>
          <w:szCs w:val="28"/>
        </w:rPr>
        <w:t>1.2 分期业务辅助服务：服务</w:t>
      </w:r>
      <w:r>
        <w:rPr>
          <w:rFonts w:hint="eastAsia" w:ascii="彩虹粗仿宋" w:hAnsi="彩虹粗仿宋" w:eastAsia="彩虹粗仿宋" w:cs="彩虹粗仿宋"/>
          <w:sz w:val="28"/>
          <w:szCs w:val="28"/>
          <w:lang w:eastAsia="zh"/>
        </w:rPr>
        <w:t>内容为</w:t>
      </w:r>
      <w:r>
        <w:rPr>
          <w:rFonts w:hint="eastAsia" w:ascii="彩虹粗仿宋" w:hAnsi="彩虹粗仿宋" w:eastAsia="彩虹粗仿宋" w:cs="彩虹粗仿宋"/>
          <w:bCs/>
          <w:sz w:val="28"/>
          <w:szCs w:val="28"/>
        </w:rPr>
        <w:t>在商户、楼盘、展会等分期目标客户聚集的业务场景，辅助招标人接受合作方业务咨询，做好活动宣传和产品推介，并将客户分期意向及时通知招标人营销受理人员。</w:t>
      </w:r>
    </w:p>
    <w:p>
      <w:pPr>
        <w:pStyle w:val="11"/>
        <w:ind w:firstLine="560"/>
        <w:rPr>
          <w:rFonts w:ascii="彩虹粗仿宋" w:hAnsi="彩虹粗仿宋" w:eastAsia="彩虹粗仿宋" w:cs="彩虹粗仿宋"/>
          <w:b/>
          <w:bCs/>
          <w:sz w:val="28"/>
          <w:szCs w:val="28"/>
        </w:rPr>
      </w:pPr>
      <w:r>
        <w:rPr>
          <w:rFonts w:hint="eastAsia" w:ascii="彩虹粗仿宋" w:hAnsi="彩虹粗仿宋" w:eastAsia="彩虹粗仿宋" w:cs="彩虹粗仿宋"/>
          <w:b/>
          <w:bCs/>
          <w:sz w:val="28"/>
          <w:szCs w:val="28"/>
        </w:rPr>
        <w:t>2.标段二：分期业务辅助服务(调查辅助)</w:t>
      </w:r>
    </w:p>
    <w:p>
      <w:pPr>
        <w:spacing w:line="360" w:lineRule="auto"/>
        <w:ind w:firstLine="560" w:firstLineChars="200"/>
        <w:rPr>
          <w:rFonts w:ascii="彩虹粗仿宋" w:hAnsi="彩虹粗仿宋" w:eastAsia="彩虹粗仿宋" w:cs="彩虹粗仿宋"/>
          <w:sz w:val="28"/>
          <w:szCs w:val="28"/>
        </w:rPr>
      </w:pPr>
      <w:r>
        <w:rPr>
          <w:rFonts w:hint="eastAsia" w:ascii="彩虹粗仿宋" w:hAnsi="彩虹粗仿宋" w:eastAsia="彩虹粗仿宋" w:cs="彩虹粗仿宋"/>
          <w:sz w:val="28"/>
          <w:szCs w:val="28"/>
        </w:rPr>
        <w:t>根据招标人提供的装修分期勘查作业分配任务，使用招标人指定系统联系客户，对客户装修房屋记录装修影像，并严格执行招标人装修分期勘查作业相关要求。</w:t>
      </w:r>
    </w:p>
    <w:p>
      <w:pPr>
        <w:rPr>
          <w:rFonts w:ascii="彩虹粗仿宋" w:hAnsi="彩虹粗仿宋" w:eastAsia="彩虹粗仿宋" w:cs="彩虹粗仿宋"/>
          <w:b/>
          <w:sz w:val="28"/>
          <w:szCs w:val="28"/>
        </w:rPr>
      </w:pPr>
      <w:r>
        <w:rPr>
          <w:rFonts w:hint="eastAsia" w:ascii="彩虹粗仿宋" w:hAnsi="彩虹粗仿宋" w:eastAsia="彩虹粗仿宋" w:cs="彩虹粗仿宋"/>
          <w:b/>
          <w:sz w:val="28"/>
          <w:szCs w:val="28"/>
        </w:rPr>
        <w:br w:type="page"/>
      </w:r>
    </w:p>
    <w:p>
      <w:pPr>
        <w:pStyle w:val="11"/>
        <w:spacing w:before="46" w:beforeLines="15" w:after="46" w:afterLines="15" w:line="360" w:lineRule="auto"/>
        <w:ind w:firstLine="0" w:firstLineChars="0"/>
        <w:rPr>
          <w:rFonts w:ascii="彩虹粗仿宋" w:hAnsi="彩虹粗仿宋" w:eastAsia="彩虹粗仿宋" w:cs="彩虹粗仿宋"/>
          <w:b/>
          <w:sz w:val="28"/>
          <w:szCs w:val="28"/>
        </w:rPr>
      </w:pPr>
      <w:r>
        <w:rPr>
          <w:rFonts w:hint="eastAsia" w:ascii="彩虹粗仿宋" w:hAnsi="彩虹粗仿宋" w:eastAsia="彩虹粗仿宋" w:cs="彩虹粗仿宋"/>
          <w:b/>
          <w:sz w:val="28"/>
          <w:szCs w:val="28"/>
        </w:rPr>
        <w:t>四、服务团队配置要求</w:t>
      </w:r>
    </w:p>
    <w:p>
      <w:pPr>
        <w:spacing w:before="46" w:beforeLines="15" w:after="46" w:afterLines="15" w:line="360" w:lineRule="auto"/>
        <w:ind w:firstLine="562" w:firstLineChars="200"/>
        <w:rPr>
          <w:rFonts w:ascii="彩虹粗仿宋" w:hAnsi="彩虹粗仿宋" w:eastAsia="彩虹粗仿宋" w:cs="彩虹粗仿宋"/>
          <w:b/>
          <w:bCs/>
          <w:sz w:val="28"/>
          <w:szCs w:val="28"/>
        </w:rPr>
      </w:pPr>
      <w:r>
        <w:rPr>
          <w:rFonts w:hint="eastAsia" w:ascii="彩虹粗仿宋" w:hAnsi="彩虹粗仿宋" w:eastAsia="彩虹粗仿宋" w:cs="彩虹粗仿宋"/>
          <w:b/>
          <w:bCs/>
          <w:sz w:val="28"/>
          <w:szCs w:val="28"/>
        </w:rPr>
        <w:t>1.项目管理人员配置：</w:t>
      </w:r>
    </w:p>
    <w:p>
      <w:pPr>
        <w:spacing w:before="46" w:beforeLines="15" w:after="46" w:afterLines="15" w:line="360" w:lineRule="auto"/>
        <w:ind w:firstLine="560" w:firstLineChars="200"/>
        <w:rPr>
          <w:rFonts w:ascii="彩虹粗仿宋" w:hAnsi="彩虹粗仿宋" w:eastAsia="彩虹粗仿宋" w:cs="彩虹粗仿宋"/>
          <w:sz w:val="28"/>
          <w:szCs w:val="28"/>
        </w:rPr>
      </w:pPr>
      <w:r>
        <w:rPr>
          <w:rFonts w:hint="eastAsia" w:ascii="彩虹粗仿宋" w:hAnsi="彩虹粗仿宋" w:eastAsia="彩虹粗仿宋" w:cs="彩虹粗仿宋"/>
          <w:sz w:val="28"/>
          <w:szCs w:val="28"/>
        </w:rPr>
        <w:t>1.1投标人具备承担本服务项目所需的专业服务团队，具体要求如下：</w:t>
      </w:r>
    </w:p>
    <w:p>
      <w:pPr>
        <w:spacing w:before="46" w:beforeLines="15" w:after="46" w:afterLines="15" w:line="360" w:lineRule="auto"/>
        <w:ind w:firstLine="560" w:firstLineChars="200"/>
        <w:rPr>
          <w:rFonts w:ascii="彩虹粗仿宋" w:hAnsi="彩虹粗仿宋" w:eastAsia="彩虹粗仿宋" w:cs="彩虹粗仿宋"/>
          <w:sz w:val="28"/>
          <w:szCs w:val="28"/>
        </w:rPr>
      </w:pPr>
      <w:r>
        <w:rPr>
          <w:rFonts w:hint="eastAsia" w:ascii="彩虹粗仿宋" w:hAnsi="彩虹粗仿宋" w:eastAsia="彩虹粗仿宋" w:cs="彩虹粗仿宋"/>
          <w:sz w:val="28"/>
          <w:szCs w:val="28"/>
        </w:rPr>
        <w:t>标段一：</w:t>
      </w:r>
    </w:p>
    <w:p>
      <w:pPr>
        <w:spacing w:before="46" w:beforeLines="15" w:after="46" w:afterLines="15" w:line="360" w:lineRule="auto"/>
        <w:ind w:firstLine="560" w:firstLineChars="200"/>
        <w:rPr>
          <w:rFonts w:ascii="彩虹粗仿宋" w:hAnsi="彩虹粗仿宋" w:eastAsia="彩虹粗仿宋" w:cs="彩虹粗仿宋"/>
          <w:sz w:val="28"/>
          <w:szCs w:val="28"/>
        </w:rPr>
      </w:pPr>
      <w:r>
        <w:rPr>
          <w:rFonts w:hint="eastAsia" w:ascii="彩虹粗仿宋" w:hAnsi="彩虹粗仿宋" w:eastAsia="彩虹粗仿宋" w:cs="彩虹粗仿宋"/>
          <w:sz w:val="28"/>
          <w:szCs w:val="28"/>
        </w:rPr>
        <w:t>第一中标人负责网络金融业务辅助服务和分期业务辅助服务(活动宣传及咨询、辅助维护合作单位、辅助产品推介)两项业务，应为本项目配备项目经理</w:t>
      </w:r>
      <w:r>
        <w:rPr>
          <w:rFonts w:hint="eastAsia" w:ascii="彩虹粗仿宋" w:hAnsi="彩虹粗仿宋" w:eastAsia="彩虹粗仿宋" w:cs="彩虹粗仿宋"/>
          <w:sz w:val="28"/>
          <w:szCs w:val="28"/>
          <w:lang w:eastAsia="zh"/>
        </w:rPr>
        <w:t>（1人）</w:t>
      </w:r>
      <w:r>
        <w:rPr>
          <w:rFonts w:hint="eastAsia" w:ascii="彩虹粗仿宋" w:hAnsi="彩虹粗仿宋" w:eastAsia="彩虹粗仿宋" w:cs="彩虹粗仿宋"/>
          <w:sz w:val="28"/>
          <w:szCs w:val="28"/>
        </w:rPr>
        <w:t>、</w:t>
      </w:r>
      <w:bookmarkStart w:id="0" w:name="_Hlk238632960"/>
      <w:r>
        <w:rPr>
          <w:rFonts w:hint="eastAsia" w:ascii="彩虹粗仿宋" w:hAnsi="彩虹粗仿宋" w:eastAsia="彩虹粗仿宋" w:cs="彩虹粗仿宋"/>
          <w:sz w:val="28"/>
          <w:szCs w:val="28"/>
        </w:rPr>
        <w:t>各业务专职管理人员</w:t>
      </w:r>
      <w:bookmarkEnd w:id="0"/>
      <w:r>
        <w:rPr>
          <w:rFonts w:hint="eastAsia" w:ascii="彩虹粗仿宋" w:hAnsi="彩虹粗仿宋" w:eastAsia="彩虹粗仿宋" w:cs="彩虹粗仿宋"/>
          <w:sz w:val="28"/>
          <w:szCs w:val="28"/>
          <w:lang w:eastAsia="zh"/>
        </w:rPr>
        <w:t>（</w:t>
      </w:r>
      <w:r>
        <w:rPr>
          <w:rFonts w:hint="eastAsia" w:ascii="彩虹粗仿宋" w:hAnsi="彩虹粗仿宋" w:eastAsia="彩虹粗仿宋" w:cs="彩虹粗仿宋"/>
          <w:sz w:val="28"/>
          <w:szCs w:val="28"/>
        </w:rPr>
        <w:t>2</w:t>
      </w:r>
      <w:r>
        <w:rPr>
          <w:rFonts w:hint="eastAsia" w:ascii="彩虹粗仿宋" w:hAnsi="彩虹粗仿宋" w:eastAsia="彩虹粗仿宋" w:cs="彩虹粗仿宋"/>
          <w:sz w:val="28"/>
          <w:szCs w:val="28"/>
          <w:lang w:eastAsia="zh"/>
        </w:rPr>
        <w:t>人）</w:t>
      </w:r>
      <w:r>
        <w:rPr>
          <w:rFonts w:hint="eastAsia" w:ascii="彩虹粗仿宋" w:hAnsi="彩虹粗仿宋" w:eastAsia="彩虹粗仿宋" w:cs="彩虹粗仿宋"/>
          <w:sz w:val="28"/>
          <w:szCs w:val="28"/>
        </w:rPr>
        <w:t>。</w:t>
      </w:r>
    </w:p>
    <w:p>
      <w:pPr>
        <w:spacing w:before="46" w:beforeLines="15" w:after="46" w:afterLines="15" w:line="360" w:lineRule="auto"/>
        <w:ind w:firstLine="560" w:firstLineChars="200"/>
        <w:rPr>
          <w:rFonts w:ascii="彩虹粗仿宋" w:hAnsi="彩虹粗仿宋" w:eastAsia="彩虹粗仿宋" w:cs="彩虹粗仿宋"/>
          <w:sz w:val="28"/>
          <w:szCs w:val="28"/>
        </w:rPr>
      </w:pPr>
      <w:r>
        <w:rPr>
          <w:rFonts w:hint="eastAsia" w:ascii="彩虹粗仿宋" w:hAnsi="彩虹粗仿宋" w:eastAsia="彩虹粗仿宋" w:cs="彩虹粗仿宋"/>
          <w:sz w:val="28"/>
          <w:szCs w:val="28"/>
        </w:rPr>
        <w:t>第二中标人负责分期业务辅助服务(活动宣传及咨询、辅助维护合作单位、辅助产品推介)业务，应为本项目配备项目经理</w:t>
      </w:r>
      <w:r>
        <w:rPr>
          <w:rFonts w:hint="eastAsia" w:ascii="彩虹粗仿宋" w:hAnsi="彩虹粗仿宋" w:eastAsia="彩虹粗仿宋" w:cs="彩虹粗仿宋"/>
          <w:sz w:val="28"/>
          <w:szCs w:val="28"/>
          <w:lang w:eastAsia="zh"/>
        </w:rPr>
        <w:t>（1人）</w:t>
      </w:r>
      <w:r>
        <w:rPr>
          <w:rFonts w:hint="eastAsia" w:ascii="彩虹粗仿宋" w:hAnsi="彩虹粗仿宋" w:eastAsia="彩虹粗仿宋" w:cs="彩虹粗仿宋"/>
          <w:sz w:val="28"/>
          <w:szCs w:val="28"/>
        </w:rPr>
        <w:t>、各业务专职管理人员</w:t>
      </w:r>
      <w:r>
        <w:rPr>
          <w:rFonts w:hint="eastAsia" w:ascii="彩虹粗仿宋" w:hAnsi="彩虹粗仿宋" w:eastAsia="彩虹粗仿宋" w:cs="彩虹粗仿宋"/>
          <w:sz w:val="28"/>
          <w:szCs w:val="28"/>
          <w:lang w:eastAsia="zh"/>
        </w:rPr>
        <w:t>（</w:t>
      </w:r>
      <w:r>
        <w:rPr>
          <w:rFonts w:hint="eastAsia" w:ascii="彩虹粗仿宋" w:hAnsi="彩虹粗仿宋" w:eastAsia="彩虹粗仿宋" w:cs="彩虹粗仿宋"/>
          <w:sz w:val="28"/>
          <w:szCs w:val="28"/>
        </w:rPr>
        <w:t>1</w:t>
      </w:r>
      <w:r>
        <w:rPr>
          <w:rFonts w:hint="eastAsia" w:ascii="彩虹粗仿宋" w:hAnsi="彩虹粗仿宋" w:eastAsia="彩虹粗仿宋" w:cs="彩虹粗仿宋"/>
          <w:sz w:val="28"/>
          <w:szCs w:val="28"/>
          <w:lang w:eastAsia="zh"/>
        </w:rPr>
        <w:t>人）</w:t>
      </w:r>
      <w:r>
        <w:rPr>
          <w:rFonts w:hint="eastAsia" w:ascii="彩虹粗仿宋" w:hAnsi="彩虹粗仿宋" w:eastAsia="彩虹粗仿宋" w:cs="彩虹粗仿宋"/>
          <w:sz w:val="28"/>
          <w:szCs w:val="28"/>
        </w:rPr>
        <w:t>。</w:t>
      </w:r>
    </w:p>
    <w:p>
      <w:pPr>
        <w:spacing w:before="46" w:beforeLines="15" w:after="46" w:afterLines="15" w:line="360" w:lineRule="auto"/>
        <w:ind w:firstLine="560" w:firstLineChars="200"/>
        <w:rPr>
          <w:rFonts w:ascii="彩虹粗仿宋" w:hAnsi="彩虹粗仿宋" w:eastAsia="彩虹粗仿宋" w:cs="彩虹粗仿宋"/>
          <w:sz w:val="28"/>
          <w:szCs w:val="28"/>
        </w:rPr>
      </w:pPr>
      <w:r>
        <w:rPr>
          <w:rFonts w:hint="eastAsia" w:ascii="彩虹粗仿宋" w:hAnsi="彩虹粗仿宋" w:eastAsia="彩虹粗仿宋" w:cs="彩虹粗仿宋"/>
          <w:sz w:val="28"/>
          <w:szCs w:val="28"/>
        </w:rPr>
        <w:t>投标人应保证提供服务的团队人员的数量和素质满足履行本外包项目实施推进的要求。投标人应负责人员招聘、培训、薪资等管理工作，按招标人要求配置相应的人员，确保按时按质完成外包服务。</w:t>
      </w:r>
    </w:p>
    <w:p>
      <w:pPr>
        <w:spacing w:before="46" w:beforeLines="15" w:after="46" w:afterLines="15" w:line="360" w:lineRule="auto"/>
        <w:ind w:firstLine="560" w:firstLineChars="200"/>
        <w:rPr>
          <w:rFonts w:ascii="彩虹粗仿宋" w:hAnsi="彩虹粗仿宋" w:eastAsia="彩虹粗仿宋" w:cs="彩虹粗仿宋"/>
          <w:sz w:val="28"/>
          <w:szCs w:val="28"/>
        </w:rPr>
      </w:pPr>
      <w:r>
        <w:rPr>
          <w:rFonts w:hint="eastAsia" w:ascii="彩虹粗仿宋" w:hAnsi="彩虹粗仿宋" w:eastAsia="彩虹粗仿宋" w:cs="彩虹粗仿宋"/>
          <w:sz w:val="28"/>
          <w:szCs w:val="28"/>
        </w:rPr>
        <w:t>标段二：</w:t>
      </w:r>
    </w:p>
    <w:p>
      <w:pPr>
        <w:spacing w:before="46" w:beforeLines="15" w:after="46" w:afterLines="15" w:line="360" w:lineRule="auto"/>
        <w:ind w:firstLine="560" w:firstLineChars="200"/>
        <w:rPr>
          <w:rFonts w:ascii="彩虹粗仿宋" w:hAnsi="彩虹粗仿宋" w:eastAsia="彩虹粗仿宋" w:cs="彩虹粗仿宋"/>
          <w:sz w:val="28"/>
          <w:szCs w:val="28"/>
        </w:rPr>
      </w:pPr>
      <w:r>
        <w:rPr>
          <w:rFonts w:hint="eastAsia" w:ascii="彩虹粗仿宋" w:hAnsi="彩虹粗仿宋" w:eastAsia="彩虹粗仿宋" w:cs="彩虹粗仿宋"/>
          <w:sz w:val="28"/>
          <w:szCs w:val="28"/>
        </w:rPr>
        <w:t>中标人负责分期业务辅助服务(调查辅助)业务，应为本项目配备项目经理</w:t>
      </w:r>
      <w:r>
        <w:rPr>
          <w:rFonts w:hint="eastAsia" w:ascii="彩虹粗仿宋" w:hAnsi="彩虹粗仿宋" w:eastAsia="彩虹粗仿宋" w:cs="彩虹粗仿宋"/>
          <w:sz w:val="28"/>
          <w:szCs w:val="28"/>
          <w:lang w:eastAsia="zh"/>
        </w:rPr>
        <w:t>（1人）</w:t>
      </w:r>
      <w:r>
        <w:rPr>
          <w:rFonts w:hint="eastAsia" w:ascii="彩虹粗仿宋" w:hAnsi="彩虹粗仿宋" w:eastAsia="彩虹粗仿宋" w:cs="彩虹粗仿宋"/>
          <w:sz w:val="28"/>
          <w:szCs w:val="28"/>
        </w:rPr>
        <w:t>、业务专职管理人员</w:t>
      </w:r>
      <w:r>
        <w:rPr>
          <w:rFonts w:hint="eastAsia" w:ascii="彩虹粗仿宋" w:hAnsi="彩虹粗仿宋" w:eastAsia="彩虹粗仿宋" w:cs="彩虹粗仿宋"/>
          <w:sz w:val="28"/>
          <w:szCs w:val="28"/>
          <w:lang w:eastAsia="zh"/>
        </w:rPr>
        <w:t>（</w:t>
      </w:r>
      <w:r>
        <w:rPr>
          <w:rFonts w:hint="eastAsia" w:ascii="彩虹粗仿宋" w:hAnsi="彩虹粗仿宋" w:eastAsia="彩虹粗仿宋" w:cs="彩虹粗仿宋"/>
          <w:sz w:val="28"/>
          <w:szCs w:val="28"/>
        </w:rPr>
        <w:t>1</w:t>
      </w:r>
      <w:r>
        <w:rPr>
          <w:rFonts w:hint="eastAsia" w:ascii="彩虹粗仿宋" w:hAnsi="彩虹粗仿宋" w:eastAsia="彩虹粗仿宋" w:cs="彩虹粗仿宋"/>
          <w:sz w:val="28"/>
          <w:szCs w:val="28"/>
          <w:lang w:eastAsia="zh"/>
        </w:rPr>
        <w:t>人）</w:t>
      </w:r>
      <w:r>
        <w:rPr>
          <w:rFonts w:hint="eastAsia" w:ascii="彩虹粗仿宋" w:hAnsi="彩虹粗仿宋" w:eastAsia="彩虹粗仿宋" w:cs="彩虹粗仿宋"/>
          <w:sz w:val="28"/>
          <w:szCs w:val="28"/>
        </w:rPr>
        <w:t>。</w:t>
      </w:r>
    </w:p>
    <w:p>
      <w:pPr>
        <w:spacing w:before="46" w:beforeLines="15" w:after="46" w:afterLines="15" w:line="360" w:lineRule="auto"/>
        <w:ind w:firstLine="560" w:firstLineChars="200"/>
        <w:rPr>
          <w:rFonts w:ascii="彩虹粗仿宋" w:hAnsi="彩虹粗仿宋" w:eastAsia="彩虹粗仿宋" w:cs="彩虹粗仿宋"/>
          <w:sz w:val="28"/>
          <w:szCs w:val="28"/>
        </w:rPr>
      </w:pPr>
      <w:r>
        <w:rPr>
          <w:rFonts w:hint="eastAsia" w:ascii="彩虹粗仿宋" w:hAnsi="彩虹粗仿宋" w:eastAsia="彩虹粗仿宋" w:cs="彩虹粗仿宋"/>
          <w:sz w:val="28"/>
          <w:szCs w:val="28"/>
        </w:rPr>
        <w:t>投标人应保证提供服务的团队人员的数量和素质满足履行本外包项目实施推进的要求。投标人应负责人员招聘、培训、薪资等管理工作，按招标人要求配置相应的人员，确保按时按质完成外包服务。</w:t>
      </w:r>
    </w:p>
    <w:p>
      <w:pPr>
        <w:spacing w:before="46" w:beforeLines="15" w:after="46" w:afterLines="15" w:line="360" w:lineRule="auto"/>
        <w:ind w:firstLine="560" w:firstLineChars="200"/>
        <w:rPr>
          <w:rFonts w:ascii="彩虹粗仿宋" w:hAnsi="彩虹粗仿宋" w:eastAsia="彩虹粗仿宋" w:cs="彩虹粗仿宋"/>
          <w:kern w:val="0"/>
          <w:sz w:val="28"/>
          <w:szCs w:val="28"/>
        </w:rPr>
      </w:pPr>
      <w:r>
        <w:rPr>
          <w:rFonts w:hint="eastAsia" w:ascii="彩虹粗仿宋" w:hAnsi="彩虹粗仿宋" w:eastAsia="彩虹粗仿宋" w:cs="彩虹粗仿宋"/>
          <w:sz w:val="28"/>
          <w:szCs w:val="28"/>
        </w:rPr>
        <w:t>1.2原则上专</w:t>
      </w:r>
      <w:r>
        <w:rPr>
          <w:rFonts w:hint="eastAsia" w:ascii="彩虹粗仿宋" w:hAnsi="彩虹粗仿宋" w:eastAsia="彩虹粗仿宋" w:cs="彩虹粗仿宋"/>
          <w:kern w:val="0"/>
          <w:sz w:val="28"/>
          <w:szCs w:val="28"/>
        </w:rPr>
        <w:t>职管理人员未经招标人同意不可调换,若要更换,须向招标人提出书面申请,替换的人员应为本公司员工且资质不得低于原派出人员。</w:t>
      </w:r>
    </w:p>
    <w:p>
      <w:pPr>
        <w:spacing w:line="360" w:lineRule="auto"/>
        <w:ind w:firstLine="562" w:firstLineChars="200"/>
        <w:rPr>
          <w:rFonts w:ascii="彩虹粗仿宋" w:hAnsi="彩虹粗仿宋" w:eastAsia="彩虹粗仿宋" w:cs="彩虹粗仿宋"/>
          <w:b/>
          <w:bCs/>
          <w:kern w:val="0"/>
          <w:sz w:val="28"/>
          <w:szCs w:val="28"/>
        </w:rPr>
      </w:pPr>
      <w:r>
        <w:rPr>
          <w:rFonts w:hint="eastAsia" w:ascii="彩虹粗仿宋" w:hAnsi="彩虹粗仿宋" w:eastAsia="彩虹粗仿宋" w:cs="彩虹粗仿宋"/>
          <w:b/>
          <w:bCs/>
          <w:kern w:val="0"/>
          <w:sz w:val="28"/>
          <w:szCs w:val="28"/>
        </w:rPr>
        <w:t>★2.专业服务团队配置：</w:t>
      </w:r>
    </w:p>
    <w:p>
      <w:pPr>
        <w:spacing w:line="360" w:lineRule="auto"/>
        <w:ind w:firstLine="560" w:firstLineChars="200"/>
        <w:rPr>
          <w:rFonts w:ascii="彩虹粗仿宋" w:hAnsi="彩虹粗仿宋" w:eastAsia="彩虹粗仿宋" w:cs="彩虹粗仿宋"/>
          <w:kern w:val="0"/>
          <w:sz w:val="28"/>
          <w:szCs w:val="28"/>
        </w:rPr>
      </w:pPr>
      <w:r>
        <w:rPr>
          <w:rFonts w:hint="eastAsia" w:ascii="彩虹粗仿宋" w:hAnsi="彩虹粗仿宋" w:eastAsia="彩虹粗仿宋" w:cs="彩虹粗仿宋"/>
          <w:kern w:val="0"/>
          <w:sz w:val="28"/>
          <w:szCs w:val="28"/>
        </w:rPr>
        <w:t>2.1标段一</w:t>
      </w:r>
    </w:p>
    <w:p>
      <w:pPr>
        <w:spacing w:line="360" w:lineRule="auto"/>
        <w:ind w:firstLine="560" w:firstLineChars="200"/>
        <w:rPr>
          <w:rFonts w:ascii="彩虹粗仿宋" w:hAnsi="彩虹粗仿宋" w:eastAsia="彩虹粗仿宋" w:cs="彩虹粗仿宋"/>
          <w:bCs/>
          <w:sz w:val="28"/>
          <w:szCs w:val="28"/>
        </w:rPr>
      </w:pPr>
      <w:r>
        <w:rPr>
          <w:rFonts w:hint="eastAsia" w:ascii="彩虹粗仿宋" w:hAnsi="彩虹粗仿宋" w:eastAsia="彩虹粗仿宋" w:cs="彩虹粗仿宋"/>
          <w:bCs/>
          <w:sz w:val="28"/>
          <w:szCs w:val="28"/>
        </w:rPr>
        <w:t>2.1.1 第一中标人应为</w:t>
      </w:r>
      <w:r>
        <w:rPr>
          <w:rFonts w:hint="eastAsia" w:ascii="彩虹粗仿宋" w:hAnsi="彩虹粗仿宋" w:eastAsia="彩虹粗仿宋" w:cs="彩虹粗仿宋"/>
          <w:b/>
          <w:sz w:val="28"/>
          <w:szCs w:val="28"/>
          <w:lang w:eastAsia="zh"/>
        </w:rPr>
        <w:t>网络金融业务</w:t>
      </w:r>
      <w:r>
        <w:rPr>
          <w:rFonts w:hint="eastAsia" w:ascii="彩虹粗仿宋" w:hAnsi="彩虹粗仿宋" w:eastAsia="彩虹粗仿宋" w:cs="彩虹粗仿宋"/>
          <w:b/>
          <w:sz w:val="28"/>
          <w:szCs w:val="28"/>
        </w:rPr>
        <w:t>辅助服务</w:t>
      </w:r>
      <w:r>
        <w:rPr>
          <w:rFonts w:hint="eastAsia" w:ascii="彩虹粗仿宋" w:hAnsi="彩虹粗仿宋" w:eastAsia="彩虹粗仿宋" w:cs="彩虹粗仿宋"/>
          <w:bCs/>
          <w:sz w:val="28"/>
          <w:szCs w:val="28"/>
        </w:rPr>
        <w:t>至少配备21人专业服务团队（不包含项目经理及专职管理人员），应为</w:t>
      </w:r>
      <w:r>
        <w:rPr>
          <w:rFonts w:hint="eastAsia" w:ascii="彩虹粗仿宋" w:hAnsi="彩虹粗仿宋" w:eastAsia="彩虹粗仿宋" w:cs="彩虹粗仿宋"/>
          <w:b/>
          <w:sz w:val="28"/>
          <w:szCs w:val="28"/>
        </w:rPr>
        <w:t>分期业务辅助服务(活动宣传及咨询、辅助维护合作单位、辅助产品推介)</w:t>
      </w:r>
      <w:r>
        <w:rPr>
          <w:rFonts w:hint="eastAsia" w:ascii="彩虹粗仿宋" w:hAnsi="彩虹粗仿宋" w:eastAsia="彩虹粗仿宋" w:cs="彩虹粗仿宋"/>
          <w:bCs/>
          <w:sz w:val="28"/>
          <w:szCs w:val="28"/>
        </w:rPr>
        <w:t>至少配备10人专业服务团队（不包含项目经理及专职管理人员），人员数量应根据招标人的要求进行调整。</w:t>
      </w:r>
      <w:r>
        <w:rPr>
          <w:rFonts w:hint="eastAsia" w:ascii="彩虹粗仿宋" w:hAnsi="彩虹粗仿宋" w:eastAsia="彩虹粗仿宋" w:cs="彩虹粗仿宋"/>
          <w:bCs/>
          <w:color w:val="FF0000"/>
          <w:sz w:val="28"/>
          <w:szCs w:val="28"/>
        </w:rPr>
        <w:t>（注：若仅有1个中标人则分期业务辅助服务(活动宣传及咨询、辅助维护合作单位、辅助产品推介)至少配备20人）</w:t>
      </w:r>
    </w:p>
    <w:p>
      <w:pPr>
        <w:spacing w:line="360" w:lineRule="auto"/>
        <w:ind w:firstLine="560" w:firstLineChars="200"/>
        <w:rPr>
          <w:rFonts w:ascii="彩虹粗仿宋" w:hAnsi="彩虹粗仿宋" w:eastAsia="彩虹粗仿宋" w:cs="彩虹粗仿宋"/>
          <w:bCs/>
          <w:sz w:val="28"/>
          <w:szCs w:val="28"/>
        </w:rPr>
      </w:pPr>
      <w:r>
        <w:rPr>
          <w:rFonts w:hint="eastAsia" w:ascii="彩虹粗仿宋" w:hAnsi="彩虹粗仿宋" w:eastAsia="彩虹粗仿宋" w:cs="彩虹粗仿宋"/>
          <w:bCs/>
          <w:sz w:val="28"/>
          <w:szCs w:val="28"/>
        </w:rPr>
        <w:t>2.1.2 第二中标人应为</w:t>
      </w:r>
      <w:r>
        <w:rPr>
          <w:rFonts w:hint="eastAsia" w:ascii="彩虹粗仿宋" w:hAnsi="彩虹粗仿宋" w:eastAsia="彩虹粗仿宋" w:cs="彩虹粗仿宋"/>
          <w:b/>
          <w:sz w:val="28"/>
          <w:szCs w:val="28"/>
        </w:rPr>
        <w:t>分期业务辅助服务(活动宣传及咨询、辅助维护合作单位、辅助产品推介)</w:t>
      </w:r>
      <w:r>
        <w:rPr>
          <w:rFonts w:hint="eastAsia" w:ascii="彩虹粗仿宋" w:hAnsi="彩虹粗仿宋" w:eastAsia="彩虹粗仿宋" w:cs="彩虹粗仿宋"/>
          <w:bCs/>
          <w:sz w:val="28"/>
          <w:szCs w:val="28"/>
        </w:rPr>
        <w:t>至少配备10人专业服务团队（不包含项目经理及专职管理人员），人员数量应根据招标人的要求进行调整。</w:t>
      </w:r>
    </w:p>
    <w:p>
      <w:pPr>
        <w:spacing w:line="360" w:lineRule="auto"/>
        <w:ind w:firstLine="560" w:firstLineChars="200"/>
        <w:rPr>
          <w:rFonts w:ascii="彩虹粗仿宋" w:hAnsi="彩虹粗仿宋" w:eastAsia="彩虹粗仿宋" w:cs="彩虹粗仿宋"/>
          <w:bCs/>
          <w:sz w:val="28"/>
          <w:szCs w:val="28"/>
          <w:lang w:eastAsia="zh"/>
        </w:rPr>
      </w:pPr>
    </w:p>
    <w:p>
      <w:pPr>
        <w:spacing w:line="360" w:lineRule="auto"/>
        <w:ind w:firstLine="560" w:firstLineChars="200"/>
        <w:rPr>
          <w:rFonts w:ascii="彩虹粗仿宋" w:hAnsi="彩虹粗仿宋" w:eastAsia="彩虹粗仿宋" w:cs="彩虹粗仿宋"/>
          <w:bCs/>
          <w:sz w:val="28"/>
          <w:szCs w:val="28"/>
        </w:rPr>
      </w:pPr>
      <w:r>
        <w:rPr>
          <w:rFonts w:hint="eastAsia" w:ascii="彩虹粗仿宋" w:hAnsi="彩虹粗仿宋" w:eastAsia="彩虹粗仿宋" w:cs="彩虹粗仿宋"/>
          <w:bCs/>
          <w:sz w:val="28"/>
          <w:szCs w:val="28"/>
        </w:rPr>
        <w:t>2.2 标段二</w:t>
      </w:r>
    </w:p>
    <w:p>
      <w:pPr>
        <w:spacing w:line="360" w:lineRule="auto"/>
        <w:ind w:firstLine="562" w:firstLineChars="200"/>
        <w:rPr>
          <w:rFonts w:ascii="彩虹粗仿宋" w:hAnsi="彩虹粗仿宋" w:eastAsia="彩虹粗仿宋" w:cs="彩虹粗仿宋"/>
          <w:bCs/>
          <w:sz w:val="28"/>
          <w:szCs w:val="28"/>
        </w:rPr>
      </w:pPr>
      <w:r>
        <w:rPr>
          <w:rFonts w:hint="eastAsia" w:ascii="彩虹粗仿宋" w:hAnsi="彩虹粗仿宋" w:eastAsia="彩虹粗仿宋" w:cs="彩虹粗仿宋"/>
          <w:b/>
          <w:sz w:val="28"/>
          <w:szCs w:val="28"/>
        </w:rPr>
        <w:t>中标人应为分期业务辅助服务(调查辅助)</w:t>
      </w:r>
      <w:r>
        <w:rPr>
          <w:rFonts w:hint="eastAsia" w:ascii="彩虹粗仿宋" w:hAnsi="彩虹粗仿宋" w:eastAsia="彩虹粗仿宋" w:cs="彩虹粗仿宋"/>
          <w:bCs/>
          <w:color w:val="FF0000"/>
          <w:sz w:val="28"/>
          <w:szCs w:val="28"/>
        </w:rPr>
        <w:t>至少配备10人</w:t>
      </w:r>
      <w:r>
        <w:rPr>
          <w:rFonts w:hint="eastAsia" w:ascii="彩虹粗仿宋" w:hAnsi="彩虹粗仿宋" w:eastAsia="彩虹粗仿宋" w:cs="彩虹粗仿宋"/>
          <w:bCs/>
          <w:sz w:val="28"/>
          <w:szCs w:val="28"/>
        </w:rPr>
        <w:t>专业服务团队</w:t>
      </w:r>
      <w:r>
        <w:rPr>
          <w:rFonts w:hint="eastAsia" w:ascii="彩虹粗仿宋" w:hAnsi="彩虹粗仿宋" w:eastAsia="彩虹粗仿宋" w:cs="彩虹粗仿宋"/>
          <w:bCs/>
          <w:color w:val="FF0000"/>
          <w:sz w:val="28"/>
          <w:szCs w:val="28"/>
        </w:rPr>
        <w:t>（</w:t>
      </w:r>
      <w:r>
        <w:rPr>
          <w:rFonts w:hint="eastAsia" w:ascii="彩虹粗仿宋" w:hAnsi="彩虹粗仿宋" w:eastAsia="彩虹粗仿宋" w:cs="彩虹粗仿宋"/>
          <w:color w:val="FF0000"/>
          <w:sz w:val="28"/>
          <w:szCs w:val="28"/>
        </w:rPr>
        <w:t>不要求专职服务</w:t>
      </w:r>
      <w:r>
        <w:rPr>
          <w:rFonts w:hint="eastAsia" w:ascii="彩虹粗仿宋" w:hAnsi="彩虹粗仿宋" w:eastAsia="彩虹粗仿宋" w:cs="彩虹粗仿宋"/>
          <w:bCs/>
          <w:sz w:val="28"/>
          <w:szCs w:val="28"/>
        </w:rPr>
        <w:t>），专业服务团队不包含项目经理和业务专职管理人员，人员数量应根据招标人的要求</w:t>
      </w:r>
      <w:r>
        <w:rPr>
          <w:rFonts w:ascii="彩虹粗仿宋" w:hAnsi="彩虹粗仿宋" w:eastAsia="彩虹粗仿宋" w:cs="彩虹粗仿宋"/>
          <w:bCs/>
          <w:sz w:val="28"/>
          <w:szCs w:val="28"/>
        </w:rPr>
        <w:t>进行调整</w:t>
      </w:r>
      <w:r>
        <w:rPr>
          <w:rFonts w:hint="eastAsia" w:ascii="彩虹粗仿宋" w:hAnsi="彩虹粗仿宋" w:eastAsia="彩虹粗仿宋" w:cs="彩虹粗仿宋"/>
          <w:bCs/>
          <w:sz w:val="28"/>
          <w:szCs w:val="28"/>
        </w:rPr>
        <w:t>。</w:t>
      </w:r>
    </w:p>
    <w:p>
      <w:pPr>
        <w:spacing w:line="360" w:lineRule="auto"/>
        <w:ind w:firstLine="560" w:firstLineChars="200"/>
        <w:rPr>
          <w:rFonts w:ascii="彩虹粗仿宋" w:hAnsi="彩虹粗仿宋" w:eastAsia="彩虹粗仿宋" w:cs="彩虹粗仿宋"/>
          <w:kern w:val="0"/>
          <w:sz w:val="28"/>
          <w:szCs w:val="28"/>
        </w:rPr>
      </w:pPr>
      <w:r>
        <w:rPr>
          <w:rFonts w:hint="eastAsia" w:ascii="彩虹粗仿宋" w:hAnsi="彩虹粗仿宋" w:eastAsia="彩虹粗仿宋" w:cs="彩虹粗仿宋"/>
          <w:kern w:val="0"/>
          <w:sz w:val="28"/>
          <w:szCs w:val="28"/>
        </w:rPr>
        <w:t>2.3投标人中标后，应保证</w:t>
      </w:r>
      <w:r>
        <w:rPr>
          <w:rFonts w:hint="eastAsia" w:ascii="彩虹粗仿宋" w:hAnsi="彩虹粗仿宋" w:eastAsia="彩虹粗仿宋" w:cs="彩虹粗仿宋"/>
          <w:sz w:val="28"/>
          <w:szCs w:val="28"/>
        </w:rPr>
        <w:t>分期业务辅助服务(活动宣传及咨询、辅助维护合作单位、辅助产品推介)项目</w:t>
      </w:r>
      <w:r>
        <w:rPr>
          <w:rFonts w:hint="eastAsia" w:ascii="彩虹粗仿宋" w:hAnsi="彩虹粗仿宋" w:eastAsia="彩虹粗仿宋" w:cs="彩虹粗仿宋"/>
          <w:kern w:val="0"/>
          <w:sz w:val="28"/>
          <w:szCs w:val="28"/>
        </w:rPr>
        <w:t>外包服务团队与</w:t>
      </w:r>
      <w:r>
        <w:rPr>
          <w:rFonts w:hint="eastAsia" w:ascii="彩虹粗仿宋" w:hAnsi="彩虹粗仿宋" w:eastAsia="彩虹粗仿宋" w:cs="彩虹粗仿宋"/>
          <w:kern w:val="0"/>
          <w:sz w:val="28"/>
          <w:szCs w:val="28"/>
          <w:lang w:eastAsia="zh"/>
        </w:rPr>
        <w:t>网络金融业务辅助</w:t>
      </w:r>
      <w:r>
        <w:rPr>
          <w:rFonts w:hint="eastAsia" w:ascii="彩虹粗仿宋" w:hAnsi="彩虹粗仿宋" w:eastAsia="彩虹粗仿宋" w:cs="彩虹粗仿宋"/>
          <w:kern w:val="0"/>
          <w:sz w:val="28"/>
          <w:szCs w:val="28"/>
        </w:rPr>
        <w:t>服务</w:t>
      </w:r>
      <w:r>
        <w:rPr>
          <w:rFonts w:hint="eastAsia" w:ascii="彩虹粗仿宋" w:hAnsi="彩虹粗仿宋" w:eastAsia="彩虹粗仿宋" w:cs="彩虹粗仿宋"/>
          <w:kern w:val="0"/>
          <w:sz w:val="28"/>
          <w:szCs w:val="28"/>
          <w:lang w:eastAsia="zh"/>
        </w:rPr>
        <w:t>项目外包服务</w:t>
      </w:r>
      <w:r>
        <w:rPr>
          <w:rFonts w:hint="eastAsia" w:ascii="彩虹粗仿宋" w:hAnsi="彩虹粗仿宋" w:eastAsia="彩虹粗仿宋" w:cs="彩虹粗仿宋"/>
          <w:kern w:val="0"/>
          <w:sz w:val="28"/>
          <w:szCs w:val="28"/>
        </w:rPr>
        <w:t>团队分别组建，禁止上述二个项目外包人员复用。</w:t>
      </w:r>
    </w:p>
    <w:p>
      <w:pPr>
        <w:spacing w:line="360" w:lineRule="auto"/>
        <w:ind w:firstLine="560" w:firstLineChars="200"/>
        <w:rPr>
          <w:rFonts w:ascii="彩虹粗仿宋" w:hAnsi="彩虹粗仿宋" w:eastAsia="彩虹粗仿宋" w:cs="彩虹粗仿宋"/>
          <w:kern w:val="0"/>
          <w:sz w:val="28"/>
          <w:szCs w:val="28"/>
        </w:rPr>
      </w:pPr>
      <w:r>
        <w:rPr>
          <w:rFonts w:hint="eastAsia" w:ascii="彩虹粗仿宋" w:hAnsi="彩虹粗仿宋" w:eastAsia="彩虹粗仿宋" w:cs="彩虹粗仿宋"/>
          <w:kern w:val="0"/>
          <w:sz w:val="28"/>
          <w:szCs w:val="28"/>
        </w:rPr>
        <w:t>2.4投标人应根据上述要求（含2.1、2.2、2.3条款）提供书面承诺函（格式自拟），未提供承诺函的或承诺的内容未完全满足上述要求的投标无效。</w:t>
      </w:r>
    </w:p>
    <w:p>
      <w:pPr>
        <w:spacing w:line="360" w:lineRule="auto"/>
        <w:ind w:firstLine="560" w:firstLineChars="200"/>
        <w:rPr>
          <w:rFonts w:ascii="彩虹粗仿宋" w:hAnsi="彩虹粗仿宋" w:eastAsia="彩虹粗仿宋" w:cs="彩虹粗仿宋"/>
          <w:kern w:val="0"/>
          <w:sz w:val="28"/>
          <w:szCs w:val="28"/>
        </w:rPr>
      </w:pPr>
      <w:r>
        <w:rPr>
          <w:rFonts w:hint="eastAsia" w:ascii="彩虹粗仿宋" w:hAnsi="彩虹粗仿宋" w:eastAsia="彩虹粗仿宋" w:cs="彩虹粗仿宋"/>
          <w:kern w:val="0"/>
          <w:sz w:val="28"/>
          <w:szCs w:val="28"/>
        </w:rPr>
        <w:t>3.投标人应承诺在合同签订后5个工作日内确保服务团队人员（包括项目经理、业务专职管理人员及专业服务团队）到岗，并组织上岗培训，熟悉业务操作流程。投标人应根据上述要求提供书面承诺函（格式自拟），未提供承诺函的或承诺的内容未完全满足上述要求的投标无效。</w:t>
      </w:r>
    </w:p>
    <w:p>
      <w:pPr>
        <w:spacing w:line="360" w:lineRule="auto"/>
        <w:rPr>
          <w:rFonts w:ascii="彩虹粗仿宋" w:hAnsi="彩虹粗仿宋" w:eastAsia="彩虹粗仿宋" w:cs="彩虹粗仿宋"/>
          <w:b/>
          <w:sz w:val="28"/>
          <w:szCs w:val="28"/>
        </w:rPr>
      </w:pPr>
      <w:r>
        <w:rPr>
          <w:rFonts w:hint="eastAsia" w:ascii="彩虹粗仿宋" w:hAnsi="彩虹粗仿宋" w:eastAsia="彩虹粗仿宋" w:cs="彩虹粗仿宋"/>
          <w:b/>
          <w:sz w:val="28"/>
          <w:szCs w:val="28"/>
        </w:rPr>
        <w:t>五、服务质量要求</w:t>
      </w:r>
    </w:p>
    <w:p>
      <w:pPr>
        <w:spacing w:line="360" w:lineRule="auto"/>
        <w:ind w:firstLine="560" w:firstLineChars="200"/>
        <w:rPr>
          <w:rFonts w:ascii="彩虹粗仿宋" w:hAnsi="彩虹粗仿宋" w:eastAsia="彩虹粗仿宋" w:cs="彩虹粗仿宋"/>
          <w:sz w:val="28"/>
          <w:szCs w:val="28"/>
        </w:rPr>
      </w:pPr>
      <w:r>
        <w:rPr>
          <w:rFonts w:hint="eastAsia" w:ascii="彩虹粗仿宋" w:hAnsi="彩虹粗仿宋" w:eastAsia="彩虹粗仿宋" w:cs="彩虹粗仿宋"/>
          <w:sz w:val="28"/>
          <w:szCs w:val="28"/>
        </w:rPr>
        <w:t>1.人员配置及管理要求</w:t>
      </w:r>
    </w:p>
    <w:p>
      <w:pPr>
        <w:spacing w:line="360" w:lineRule="auto"/>
        <w:ind w:firstLine="560" w:firstLineChars="200"/>
        <w:rPr>
          <w:rFonts w:ascii="彩虹粗仿宋" w:hAnsi="彩虹粗仿宋" w:eastAsia="彩虹粗仿宋" w:cs="彩虹粗仿宋"/>
          <w:sz w:val="28"/>
          <w:szCs w:val="28"/>
          <w:highlight w:val="yellow"/>
        </w:rPr>
      </w:pPr>
      <w:r>
        <w:rPr>
          <w:rFonts w:hint="eastAsia" w:ascii="彩虹粗仿宋" w:hAnsi="彩虹粗仿宋" w:eastAsia="彩虹粗仿宋" w:cs="彩虹粗仿宋"/>
          <w:sz w:val="28"/>
          <w:szCs w:val="28"/>
        </w:rPr>
        <w:t>（1）中标人</w:t>
      </w:r>
      <w:r>
        <w:rPr>
          <w:rFonts w:hint="eastAsia" w:ascii="彩虹粗仿宋" w:hAnsi="彩虹粗仿宋" w:eastAsia="彩虹粗仿宋" w:cs="彩虹粗仿宋"/>
          <w:sz w:val="28"/>
          <w:szCs w:val="28"/>
          <w:lang w:eastAsia="zh"/>
        </w:rPr>
        <w:t>针对每项业务，</w:t>
      </w:r>
      <w:r>
        <w:rPr>
          <w:rFonts w:hint="eastAsia" w:ascii="彩虹粗仿宋" w:hAnsi="彩虹粗仿宋" w:eastAsia="彩虹粗仿宋" w:cs="彩虹粗仿宋"/>
          <w:sz w:val="28"/>
          <w:szCs w:val="28"/>
        </w:rPr>
        <w:t>均需在厦门当地配备至少1名</w:t>
      </w:r>
      <w:r>
        <w:rPr>
          <w:rFonts w:hint="eastAsia" w:ascii="彩虹粗仿宋" w:hAnsi="彩虹粗仿宋" w:eastAsia="彩虹粗仿宋" w:cs="彩虹粗仿宋"/>
          <w:b/>
          <w:bCs/>
          <w:sz w:val="28"/>
          <w:szCs w:val="28"/>
        </w:rPr>
        <w:t>业务专职管理人员</w:t>
      </w:r>
      <w:r>
        <w:rPr>
          <w:rFonts w:hint="eastAsia" w:ascii="彩虹粗仿宋" w:hAnsi="彩虹粗仿宋" w:eastAsia="彩虹粗仿宋" w:cs="彩虹粗仿宋"/>
          <w:sz w:val="28"/>
          <w:szCs w:val="28"/>
        </w:rPr>
        <w:t>（即标段一的第一中标人应在厦门当地至少配备2名、第二中标人应在厦门当地至少配备1名；标段二的中标人应在厦门当地至少配备1名）。业务专职管理人员学历为大专及以上学历，并具备相应的管理经验。其他专业服务团队人员学历为大专及以上学历，条件优秀者学历要求可放宽至中专学历。业务专职管理人员负责配合招标人制定营销策略、执行营销计划、实施员工管理、驻点人员巡检，开展指标分析、岗位考核、培训管理等。</w:t>
      </w:r>
    </w:p>
    <w:p>
      <w:pPr>
        <w:spacing w:line="360" w:lineRule="auto"/>
        <w:ind w:firstLine="560" w:firstLineChars="200"/>
        <w:rPr>
          <w:rFonts w:ascii="彩虹粗仿宋" w:hAnsi="彩虹粗仿宋" w:eastAsia="彩虹粗仿宋" w:cs="彩虹粗仿宋"/>
          <w:sz w:val="28"/>
          <w:szCs w:val="28"/>
        </w:rPr>
      </w:pPr>
      <w:r>
        <w:rPr>
          <w:rFonts w:hint="eastAsia" w:ascii="彩虹粗仿宋" w:hAnsi="彩虹粗仿宋" w:eastAsia="彩虹粗仿宋" w:cs="彩虹粗仿宋"/>
          <w:sz w:val="28"/>
          <w:szCs w:val="28"/>
        </w:rPr>
        <w:t>其他专业服务团队人员负责按照招标人要求在规定时间内，完成指派的工作任务。</w:t>
      </w:r>
    </w:p>
    <w:p>
      <w:pPr>
        <w:adjustRightInd w:val="0"/>
        <w:snapToGrid w:val="0"/>
        <w:spacing w:line="560" w:lineRule="atLeast"/>
        <w:ind w:firstLine="560" w:firstLineChars="200"/>
        <w:rPr>
          <w:rFonts w:ascii="彩虹粗仿宋" w:hAnsi="彩虹粗仿宋" w:eastAsia="彩虹粗仿宋" w:cs="彩虹粗仿宋"/>
          <w:sz w:val="28"/>
          <w:szCs w:val="28"/>
        </w:rPr>
      </w:pPr>
      <w:r>
        <w:rPr>
          <w:rFonts w:hint="eastAsia" w:ascii="彩虹粗仿宋" w:hAnsi="彩虹粗仿宋" w:eastAsia="彩虹粗仿宋" w:cs="彩虹粗仿宋"/>
          <w:sz w:val="28"/>
          <w:szCs w:val="28"/>
        </w:rPr>
        <w:t>（2）中标人应与本项目提供服务的所有工作人员（包含项目经理、</w:t>
      </w:r>
      <w:r>
        <w:rPr>
          <w:rFonts w:hint="eastAsia" w:ascii="彩虹粗仿宋" w:hAnsi="彩虹粗仿宋" w:eastAsia="彩虹粗仿宋" w:cs="彩虹粗仿宋"/>
          <w:kern w:val="0"/>
          <w:sz w:val="28"/>
          <w:szCs w:val="28"/>
        </w:rPr>
        <w:t>业务专职管理人员及专业服务团队</w:t>
      </w:r>
      <w:r>
        <w:rPr>
          <w:rFonts w:hint="eastAsia" w:ascii="彩虹粗仿宋" w:hAnsi="彩虹粗仿宋" w:eastAsia="彩虹粗仿宋" w:cs="彩虹粗仿宋"/>
          <w:sz w:val="28"/>
          <w:szCs w:val="28"/>
        </w:rPr>
        <w:t>）建立合法的劳动关系。工作人员工资待遇应在厦门市劳动力市场上有一定的竞争力，以保证人员稳定。</w:t>
      </w:r>
    </w:p>
    <w:p>
      <w:pPr>
        <w:adjustRightInd w:val="0"/>
        <w:snapToGrid w:val="0"/>
        <w:spacing w:line="560" w:lineRule="atLeast"/>
        <w:ind w:firstLine="560" w:firstLineChars="200"/>
        <w:rPr>
          <w:rFonts w:ascii="彩虹粗仿宋" w:hAnsi="彩虹粗仿宋" w:eastAsia="彩虹粗仿宋" w:cs="彩虹粗仿宋"/>
          <w:sz w:val="28"/>
          <w:szCs w:val="28"/>
        </w:rPr>
      </w:pPr>
      <w:r>
        <w:rPr>
          <w:rFonts w:hint="eastAsia" w:ascii="彩虹粗仿宋" w:hAnsi="彩虹粗仿宋" w:eastAsia="彩虹粗仿宋" w:cs="彩虹粗仿宋"/>
          <w:sz w:val="28"/>
          <w:szCs w:val="28"/>
        </w:rPr>
        <w:t>（3）中标人</w:t>
      </w:r>
      <w:r>
        <w:rPr>
          <w:rFonts w:hint="eastAsia" w:ascii="彩虹粗仿宋" w:hAnsi="彩虹粗仿宋" w:eastAsia="彩虹粗仿宋" w:cs="彩虹粗仿宋"/>
          <w:sz w:val="28"/>
          <w:szCs w:val="28"/>
          <w:lang w:eastAsia="zh"/>
        </w:rPr>
        <w:t>针对每项业务，均</w:t>
      </w:r>
      <w:r>
        <w:rPr>
          <w:rFonts w:hint="eastAsia" w:ascii="彩虹粗仿宋" w:hAnsi="彩虹粗仿宋" w:eastAsia="彩虹粗仿宋" w:cs="彩虹粗仿宋"/>
          <w:sz w:val="28"/>
          <w:szCs w:val="28"/>
        </w:rPr>
        <w:t>应储备至少1名外包服务人员（即标段一的第一中标人储备2名，第二中标人储备1名；标段二的中标人储备1名，且不可同时担任业务管理人员），在作业高峰期和人员发生流动时由招标人安排及时增补到相关岗位，确保建行业务顺利开展。</w:t>
      </w:r>
    </w:p>
    <w:p>
      <w:pPr>
        <w:spacing w:line="360" w:lineRule="auto"/>
        <w:ind w:firstLine="560" w:firstLineChars="200"/>
        <w:rPr>
          <w:rFonts w:ascii="彩虹粗仿宋" w:hAnsi="彩虹粗仿宋" w:eastAsia="彩虹粗仿宋" w:cs="彩虹粗仿宋"/>
          <w:sz w:val="28"/>
          <w:szCs w:val="28"/>
        </w:rPr>
      </w:pPr>
      <w:r>
        <w:rPr>
          <w:rFonts w:hint="eastAsia" w:ascii="彩虹粗仿宋" w:hAnsi="彩虹粗仿宋" w:eastAsia="彩虹粗仿宋" w:cs="彩虹粗仿宋"/>
          <w:sz w:val="28"/>
          <w:szCs w:val="28"/>
        </w:rPr>
        <w:t>（4）中标人承担所有服务人员人身安全责任。</w:t>
      </w:r>
    </w:p>
    <w:p>
      <w:pPr>
        <w:spacing w:line="360" w:lineRule="auto"/>
        <w:ind w:firstLine="560" w:firstLineChars="200"/>
        <w:rPr>
          <w:rFonts w:ascii="彩虹粗仿宋" w:hAnsi="彩虹粗仿宋" w:eastAsia="彩虹粗仿宋" w:cs="彩虹粗仿宋"/>
          <w:sz w:val="28"/>
          <w:szCs w:val="28"/>
        </w:rPr>
      </w:pPr>
      <w:r>
        <w:rPr>
          <w:rFonts w:hint="eastAsia" w:ascii="彩虹粗仿宋" w:hAnsi="彩虹粗仿宋" w:eastAsia="彩虹粗仿宋" w:cs="彩虹粗仿宋"/>
          <w:sz w:val="28"/>
          <w:szCs w:val="28"/>
        </w:rPr>
        <w:t>（5）中标人应制定工作人员管理制度，并报招标人备案。</w:t>
      </w:r>
    </w:p>
    <w:p>
      <w:pPr>
        <w:spacing w:line="360" w:lineRule="auto"/>
        <w:ind w:firstLine="560" w:firstLineChars="200"/>
        <w:rPr>
          <w:rFonts w:ascii="彩虹粗仿宋" w:hAnsi="彩虹粗仿宋" w:eastAsia="彩虹粗仿宋" w:cs="彩虹粗仿宋"/>
          <w:sz w:val="28"/>
          <w:szCs w:val="28"/>
        </w:rPr>
      </w:pPr>
      <w:r>
        <w:rPr>
          <w:rFonts w:hint="eastAsia" w:ascii="彩虹粗仿宋" w:hAnsi="彩虹粗仿宋" w:eastAsia="彩虹粗仿宋" w:cs="彩虹粗仿宋"/>
          <w:sz w:val="28"/>
          <w:szCs w:val="28"/>
        </w:rPr>
        <w:t>（6）中标人合同履行期满后，无论是否与招标人继续合作，均须配合招标人做好移交工作及相关人事调整工作。</w:t>
      </w:r>
    </w:p>
    <w:p>
      <w:pPr>
        <w:autoSpaceDE w:val="0"/>
        <w:autoSpaceDN w:val="0"/>
        <w:adjustRightInd w:val="0"/>
        <w:spacing w:line="360" w:lineRule="auto"/>
        <w:ind w:firstLine="560" w:firstLineChars="200"/>
        <w:rPr>
          <w:rFonts w:ascii="彩虹粗仿宋" w:hAnsi="彩虹粗仿宋" w:eastAsia="彩虹粗仿宋" w:cs="彩虹粗仿宋"/>
          <w:sz w:val="28"/>
          <w:szCs w:val="28"/>
        </w:rPr>
      </w:pPr>
      <w:r>
        <w:rPr>
          <w:rFonts w:hint="eastAsia" w:ascii="彩虹粗仿宋" w:hAnsi="彩虹粗仿宋" w:eastAsia="彩虹粗仿宋" w:cs="彩虹粗仿宋"/>
          <w:sz w:val="28"/>
          <w:szCs w:val="28"/>
        </w:rPr>
        <w:t>2.作业管理要求</w:t>
      </w:r>
    </w:p>
    <w:p>
      <w:pPr>
        <w:spacing w:line="360" w:lineRule="auto"/>
        <w:ind w:firstLine="560" w:firstLineChars="200"/>
        <w:rPr>
          <w:rFonts w:ascii="彩虹粗仿宋" w:hAnsi="彩虹粗仿宋" w:eastAsia="彩虹粗仿宋" w:cs="彩虹粗仿宋"/>
          <w:sz w:val="28"/>
          <w:szCs w:val="28"/>
        </w:rPr>
      </w:pPr>
      <w:r>
        <w:rPr>
          <w:rFonts w:hint="eastAsia" w:ascii="彩虹粗仿宋" w:hAnsi="彩虹粗仿宋" w:eastAsia="彩虹粗仿宋" w:cs="彩虹粗仿宋"/>
          <w:sz w:val="28"/>
          <w:szCs w:val="28"/>
        </w:rPr>
        <w:t>（1）中标人按照合同约定的服务内容和服务要求按时向招标人提供合格的服务；服务期内中标人有义务对所提供的服务按照招标人要求不断调整，以达到服务的不断优化。</w:t>
      </w:r>
    </w:p>
    <w:p>
      <w:pPr>
        <w:spacing w:line="360" w:lineRule="auto"/>
        <w:ind w:firstLine="560" w:firstLineChars="200"/>
        <w:rPr>
          <w:rFonts w:ascii="彩虹粗仿宋" w:hAnsi="彩虹粗仿宋" w:eastAsia="彩虹粗仿宋" w:cs="彩虹粗仿宋"/>
          <w:sz w:val="28"/>
          <w:szCs w:val="28"/>
          <w:highlight w:val="yellow"/>
        </w:rPr>
      </w:pPr>
      <w:r>
        <w:rPr>
          <w:rFonts w:hint="eastAsia" w:ascii="彩虹粗仿宋" w:hAnsi="彩虹粗仿宋" w:eastAsia="彩虹粗仿宋" w:cs="彩虹粗仿宋"/>
          <w:sz w:val="28"/>
          <w:szCs w:val="28"/>
        </w:rPr>
        <w:t>（2）中标人应加强对服务人员的培训，除对新进外包服务人员进行培训外，中标人应每年组织外包服务人员开展不低于2次的业务培训。</w:t>
      </w:r>
    </w:p>
    <w:p>
      <w:pPr>
        <w:spacing w:line="360" w:lineRule="auto"/>
        <w:ind w:firstLine="560" w:firstLineChars="200"/>
        <w:rPr>
          <w:rFonts w:ascii="彩虹粗仿宋" w:hAnsi="彩虹粗仿宋" w:eastAsia="彩虹粗仿宋" w:cs="彩虹粗仿宋"/>
          <w:sz w:val="28"/>
          <w:szCs w:val="28"/>
        </w:rPr>
      </w:pPr>
      <w:r>
        <w:rPr>
          <w:rFonts w:hint="eastAsia" w:ascii="彩虹粗仿宋" w:hAnsi="彩虹粗仿宋" w:eastAsia="彩虹粗仿宋" w:cs="彩虹粗仿宋"/>
          <w:sz w:val="28"/>
          <w:szCs w:val="28"/>
        </w:rPr>
        <w:t>（3）中标人应制定作业管理制度，并报建行备案。</w:t>
      </w:r>
    </w:p>
    <w:p>
      <w:pPr>
        <w:spacing w:line="360" w:lineRule="auto"/>
        <w:ind w:firstLine="560" w:firstLineChars="200"/>
        <w:rPr>
          <w:rFonts w:ascii="彩虹粗仿宋" w:hAnsi="彩虹粗仿宋" w:eastAsia="彩虹粗仿宋" w:cs="彩虹粗仿宋"/>
          <w:sz w:val="28"/>
          <w:szCs w:val="28"/>
        </w:rPr>
      </w:pPr>
      <w:r>
        <w:rPr>
          <w:rFonts w:hint="eastAsia" w:ascii="彩虹粗仿宋" w:hAnsi="彩虹粗仿宋" w:eastAsia="彩虹粗仿宋" w:cs="彩虹粗仿宋"/>
          <w:sz w:val="28"/>
          <w:szCs w:val="28"/>
        </w:rPr>
        <w:t>（4）招标人业务检查中发现业务差错，或发生投诉的，中标人需按双方协商标准支付违约金。中标人存在合同约定的违约行为，应采取补救措施和承担损失赔偿等违约责任。</w:t>
      </w:r>
    </w:p>
    <w:p>
      <w:pPr>
        <w:autoSpaceDE w:val="0"/>
        <w:autoSpaceDN w:val="0"/>
        <w:adjustRightInd w:val="0"/>
        <w:spacing w:line="360" w:lineRule="auto"/>
        <w:ind w:firstLine="480"/>
        <w:rPr>
          <w:rFonts w:ascii="彩虹粗仿宋" w:hAnsi="彩虹粗仿宋" w:eastAsia="彩虹粗仿宋" w:cs="彩虹粗仿宋"/>
          <w:sz w:val="28"/>
          <w:szCs w:val="28"/>
        </w:rPr>
      </w:pPr>
      <w:r>
        <w:rPr>
          <w:rFonts w:hint="eastAsia" w:ascii="彩虹粗仿宋" w:hAnsi="彩虹粗仿宋" w:eastAsia="彩虹粗仿宋" w:cs="彩虹粗仿宋"/>
          <w:sz w:val="28"/>
          <w:szCs w:val="28"/>
        </w:rPr>
        <w:t>3.设备管理要求</w:t>
      </w:r>
    </w:p>
    <w:p>
      <w:pPr>
        <w:spacing w:line="360" w:lineRule="auto"/>
        <w:ind w:firstLine="560" w:firstLineChars="200"/>
        <w:rPr>
          <w:rFonts w:ascii="彩虹粗仿宋" w:hAnsi="彩虹粗仿宋" w:eastAsia="彩虹粗仿宋" w:cs="彩虹粗仿宋"/>
          <w:sz w:val="28"/>
          <w:szCs w:val="28"/>
          <w:lang w:eastAsia="zh"/>
        </w:rPr>
      </w:pPr>
      <w:r>
        <w:rPr>
          <w:rFonts w:hint="eastAsia" w:ascii="彩虹粗仿宋" w:hAnsi="彩虹粗仿宋" w:eastAsia="彩虹粗仿宋" w:cs="彩虹粗仿宋"/>
          <w:sz w:val="28"/>
          <w:szCs w:val="28"/>
        </w:rPr>
        <w:t>中标人不得利用现有设备从事本合同项下规定工作以外的事项。</w:t>
      </w:r>
    </w:p>
    <w:p>
      <w:pPr>
        <w:spacing w:line="360" w:lineRule="auto"/>
        <w:ind w:firstLine="560" w:firstLineChars="200"/>
        <w:rPr>
          <w:rFonts w:ascii="彩虹粗仿宋" w:hAnsi="彩虹粗仿宋" w:eastAsia="彩虹粗仿宋" w:cs="彩虹粗仿宋"/>
          <w:sz w:val="28"/>
          <w:szCs w:val="28"/>
        </w:rPr>
      </w:pPr>
      <w:r>
        <w:rPr>
          <w:rFonts w:hint="eastAsia" w:ascii="彩虹粗仿宋" w:hAnsi="彩虹粗仿宋" w:eastAsia="彩虹粗仿宋" w:cs="彩虹粗仿宋"/>
          <w:sz w:val="28"/>
          <w:szCs w:val="28"/>
        </w:rPr>
        <w:t>4.日常管理要求</w:t>
      </w:r>
    </w:p>
    <w:p>
      <w:pPr>
        <w:spacing w:line="360" w:lineRule="auto"/>
        <w:ind w:firstLine="560" w:firstLineChars="200"/>
        <w:rPr>
          <w:rFonts w:ascii="彩虹粗仿宋" w:hAnsi="彩虹粗仿宋" w:eastAsia="彩虹粗仿宋" w:cs="彩虹粗仿宋"/>
          <w:sz w:val="28"/>
          <w:szCs w:val="28"/>
        </w:rPr>
      </w:pPr>
      <w:r>
        <w:rPr>
          <w:rFonts w:hint="eastAsia" w:ascii="彩虹粗仿宋" w:hAnsi="彩虹粗仿宋" w:eastAsia="彩虹粗仿宋" w:cs="彩虹粗仿宋"/>
          <w:sz w:val="28"/>
          <w:szCs w:val="28"/>
        </w:rPr>
        <w:t>（1）中标人负责向工作人员提供工牌，工牌格式需经招标人审核同意；工作期间着正装，服装款式应区别于招标人员工工装。</w:t>
      </w:r>
    </w:p>
    <w:p>
      <w:pPr>
        <w:spacing w:line="360" w:lineRule="auto"/>
        <w:ind w:firstLine="560" w:firstLineChars="200"/>
        <w:rPr>
          <w:rFonts w:ascii="彩虹粗仿宋" w:hAnsi="彩虹粗仿宋" w:eastAsia="彩虹粗仿宋" w:cs="彩虹粗仿宋"/>
          <w:sz w:val="28"/>
          <w:szCs w:val="28"/>
        </w:rPr>
      </w:pPr>
      <w:r>
        <w:rPr>
          <w:rFonts w:hint="eastAsia" w:ascii="彩虹粗仿宋" w:hAnsi="彩虹粗仿宋" w:eastAsia="彩虹粗仿宋" w:cs="彩虹粗仿宋"/>
          <w:sz w:val="28"/>
          <w:szCs w:val="28"/>
        </w:rPr>
        <w:t>（2）中标人工作人员不得携带书包、移动存储设备进入行内工作区，并按要求放置指定存放地点；不得通过纸质和电子媒介打印、下载并外携任何银行资料信息；非招标人指定的上班时间段内，不得在行内办公场所停留；在行内的业务处理过程必须在有效监控范围内进行。</w:t>
      </w:r>
    </w:p>
    <w:p>
      <w:pPr>
        <w:spacing w:line="360" w:lineRule="auto"/>
        <w:ind w:firstLine="560" w:firstLineChars="200"/>
        <w:rPr>
          <w:rFonts w:ascii="彩虹粗仿宋" w:hAnsi="彩虹粗仿宋" w:eastAsia="彩虹粗仿宋" w:cs="彩虹粗仿宋"/>
          <w:sz w:val="28"/>
          <w:szCs w:val="28"/>
        </w:rPr>
      </w:pPr>
      <w:r>
        <w:rPr>
          <w:rFonts w:hint="eastAsia" w:ascii="彩虹粗仿宋" w:hAnsi="彩虹粗仿宋" w:eastAsia="彩虹粗仿宋" w:cs="彩虹粗仿宋"/>
          <w:sz w:val="28"/>
          <w:szCs w:val="28"/>
        </w:rPr>
        <w:t>（3）未经招标人同意不得随意出入其他楼层，未经招标人同意不得带他人进入工作场所及大楼。</w:t>
      </w:r>
    </w:p>
    <w:p>
      <w:pPr>
        <w:spacing w:line="360" w:lineRule="auto"/>
        <w:ind w:firstLine="560" w:firstLineChars="200"/>
        <w:rPr>
          <w:rFonts w:ascii="彩虹粗仿宋" w:hAnsi="彩虹粗仿宋" w:eastAsia="彩虹粗仿宋" w:cs="彩虹粗仿宋"/>
          <w:sz w:val="28"/>
          <w:szCs w:val="28"/>
        </w:rPr>
      </w:pPr>
      <w:r>
        <w:rPr>
          <w:rFonts w:hint="eastAsia" w:ascii="彩虹粗仿宋" w:hAnsi="彩虹粗仿宋" w:eastAsia="彩虹粗仿宋" w:cs="彩虹粗仿宋"/>
          <w:sz w:val="28"/>
          <w:szCs w:val="28"/>
        </w:rPr>
        <w:t>（4）中标人应制定外包人员日常管理规定，并报招标人备案。</w:t>
      </w:r>
    </w:p>
    <w:p>
      <w:pPr>
        <w:spacing w:line="360" w:lineRule="auto"/>
        <w:ind w:firstLine="560" w:firstLineChars="200"/>
        <w:rPr>
          <w:rFonts w:ascii="彩虹粗仿宋" w:hAnsi="彩虹粗仿宋" w:eastAsia="彩虹粗仿宋" w:cs="彩虹粗仿宋"/>
          <w:sz w:val="28"/>
          <w:szCs w:val="28"/>
        </w:rPr>
      </w:pPr>
      <w:r>
        <w:rPr>
          <w:rFonts w:hint="eastAsia" w:ascii="彩虹粗仿宋" w:hAnsi="彩虹粗仿宋" w:eastAsia="彩虹粗仿宋" w:cs="彩虹粗仿宋"/>
          <w:sz w:val="28"/>
          <w:szCs w:val="28"/>
        </w:rPr>
        <w:t>5. 质量保证体系</w:t>
      </w:r>
    </w:p>
    <w:p>
      <w:pPr>
        <w:spacing w:line="360" w:lineRule="auto"/>
        <w:ind w:firstLine="560" w:firstLineChars="200"/>
        <w:rPr>
          <w:rFonts w:ascii="彩虹粗仿宋" w:hAnsi="彩虹粗仿宋" w:eastAsia="彩虹粗仿宋" w:cs="彩虹粗仿宋"/>
          <w:sz w:val="28"/>
          <w:szCs w:val="28"/>
        </w:rPr>
      </w:pPr>
      <w:r>
        <w:rPr>
          <w:rFonts w:hint="eastAsia" w:ascii="彩虹粗仿宋" w:hAnsi="彩虹粗仿宋" w:eastAsia="彩虹粗仿宋" w:cs="彩虹粗仿宋"/>
          <w:sz w:val="28"/>
          <w:szCs w:val="28"/>
        </w:rPr>
        <w:t>（1）中标人必须具备服务质量反馈和服务质量保障的体系，以保障自己的服务承诺得以实现，如实描述本公司的保障体系及提供相关证据。</w:t>
      </w:r>
    </w:p>
    <w:p>
      <w:pPr>
        <w:spacing w:line="360" w:lineRule="auto"/>
        <w:ind w:firstLine="560" w:firstLineChars="200"/>
        <w:rPr>
          <w:rFonts w:ascii="彩虹粗仿宋" w:hAnsi="彩虹粗仿宋" w:eastAsia="彩虹粗仿宋" w:cs="彩虹粗仿宋"/>
          <w:sz w:val="28"/>
          <w:szCs w:val="28"/>
        </w:rPr>
      </w:pPr>
      <w:r>
        <w:rPr>
          <w:rFonts w:hint="eastAsia" w:ascii="彩虹粗仿宋" w:hAnsi="彩虹粗仿宋" w:eastAsia="彩虹粗仿宋" w:cs="彩虹粗仿宋"/>
          <w:sz w:val="28"/>
          <w:szCs w:val="28"/>
        </w:rPr>
        <w:t>（2）中标人在履行合同的全过程中，应对所有服务质量负责，即要保证所有服务的质量符合有关该项服务所规定的要求。</w:t>
      </w:r>
    </w:p>
    <w:p>
      <w:pPr>
        <w:spacing w:line="360" w:lineRule="auto"/>
        <w:ind w:firstLine="560" w:firstLineChars="200"/>
        <w:rPr>
          <w:rFonts w:ascii="彩虹粗仿宋" w:hAnsi="彩虹粗仿宋" w:eastAsia="彩虹粗仿宋" w:cs="彩虹粗仿宋"/>
          <w:sz w:val="28"/>
          <w:szCs w:val="28"/>
          <w:lang w:eastAsia="zh"/>
        </w:rPr>
      </w:pPr>
      <w:r>
        <w:rPr>
          <w:rFonts w:hint="eastAsia" w:ascii="彩虹粗仿宋" w:hAnsi="彩虹粗仿宋" w:eastAsia="彩虹粗仿宋" w:cs="彩虹粗仿宋"/>
          <w:sz w:val="28"/>
          <w:szCs w:val="28"/>
        </w:rPr>
        <w:t>（3）投标人应提供本公司的全面质量管理文件及资料、本公司的相关质量控制系统以及针对本项目的技术支持服务质量的目标计划。以这些文件作为依据来确保质量执行过程规定的质量计划一致。</w:t>
      </w:r>
    </w:p>
    <w:p>
      <w:pPr>
        <w:spacing w:line="360" w:lineRule="auto"/>
        <w:rPr>
          <w:rFonts w:ascii="彩虹粗仿宋" w:hAnsi="彩虹粗仿宋" w:eastAsia="彩虹粗仿宋" w:cs="彩虹粗仿宋"/>
          <w:b/>
          <w:sz w:val="28"/>
          <w:szCs w:val="28"/>
        </w:rPr>
      </w:pPr>
      <w:r>
        <w:rPr>
          <w:rFonts w:hint="eastAsia" w:ascii="彩虹粗仿宋" w:hAnsi="彩虹粗仿宋" w:eastAsia="彩虹粗仿宋" w:cs="彩虹粗仿宋"/>
          <w:b/>
          <w:sz w:val="28"/>
          <w:szCs w:val="28"/>
        </w:rPr>
        <w:t>六、服务供应安排</w:t>
      </w:r>
    </w:p>
    <w:p>
      <w:pPr>
        <w:spacing w:line="360" w:lineRule="auto"/>
        <w:ind w:firstLine="560" w:firstLineChars="200"/>
        <w:rPr>
          <w:rFonts w:ascii="彩虹粗仿宋" w:hAnsi="彩虹粗仿宋" w:eastAsia="彩虹粗仿宋" w:cs="彩虹粗仿宋"/>
          <w:sz w:val="28"/>
          <w:szCs w:val="28"/>
        </w:rPr>
      </w:pPr>
      <w:r>
        <w:rPr>
          <w:rFonts w:hint="eastAsia" w:ascii="彩虹粗仿宋" w:hAnsi="彩虹粗仿宋" w:eastAsia="彩虹粗仿宋" w:cs="彩虹粗仿宋"/>
          <w:sz w:val="28"/>
          <w:szCs w:val="28"/>
        </w:rPr>
        <w:t>中标人按照约定的服务内容和服务要求按时提供合格的服务，服务期内中标人有义务对所提供的服务按照招标人要求不断调整，以达到服务的不断优化。</w:t>
      </w:r>
    </w:p>
    <w:p>
      <w:pPr>
        <w:spacing w:line="360" w:lineRule="auto"/>
        <w:rPr>
          <w:rFonts w:ascii="彩虹粗仿宋" w:hAnsi="彩虹粗仿宋" w:eastAsia="彩虹粗仿宋" w:cs="彩虹粗仿宋"/>
          <w:b/>
          <w:sz w:val="28"/>
          <w:szCs w:val="28"/>
        </w:rPr>
      </w:pPr>
      <w:r>
        <w:rPr>
          <w:rFonts w:hint="eastAsia" w:ascii="彩虹粗仿宋" w:hAnsi="彩虹粗仿宋" w:eastAsia="彩虹粗仿宋" w:cs="彩虹粗仿宋"/>
          <w:b/>
          <w:sz w:val="28"/>
          <w:szCs w:val="28"/>
        </w:rPr>
        <w:t>七、</w:t>
      </w:r>
      <w:r>
        <w:rPr>
          <w:rFonts w:hint="eastAsia" w:ascii="彩虹粗仿宋" w:hAnsi="彩虹粗仿宋" w:eastAsia="彩虹粗仿宋" w:cs="彩虹粗仿宋"/>
          <w:b/>
          <w:snapToGrid w:val="0"/>
          <w:kern w:val="0"/>
          <w:sz w:val="28"/>
          <w:szCs w:val="28"/>
        </w:rPr>
        <w:t>款项支付要求</w:t>
      </w:r>
    </w:p>
    <w:p>
      <w:pPr>
        <w:ind w:firstLine="560" w:firstLineChars="200"/>
        <w:rPr>
          <w:rFonts w:hint="default" w:ascii="彩虹粗仿宋" w:hAnsi="彩虹粗仿宋" w:eastAsia="彩虹粗仿宋" w:cs="彩虹粗仿宋"/>
          <w:b/>
          <w:sz w:val="28"/>
          <w:szCs w:val="28"/>
          <w:lang w:val="en-US"/>
        </w:rPr>
      </w:pPr>
      <w:r>
        <w:rPr>
          <w:rFonts w:hint="eastAsia" w:ascii="彩虹粗仿宋" w:hAnsi="彩虹粗仿宋" w:eastAsia="彩虹粗仿宋" w:cs="彩虹粗仿宋"/>
          <w:sz w:val="28"/>
          <w:szCs w:val="28"/>
          <w:lang w:val="en-US" w:eastAsia="zh-CN"/>
        </w:rPr>
        <w:t>以招标文件为准。</w:t>
      </w:r>
    </w:p>
    <w:p>
      <w:pPr>
        <w:spacing w:line="360" w:lineRule="auto"/>
        <w:rPr>
          <w:rFonts w:ascii="彩虹粗仿宋" w:hAnsi="彩虹粗仿宋" w:eastAsia="彩虹粗仿宋" w:cs="彩虹粗仿宋"/>
          <w:b/>
          <w:sz w:val="28"/>
          <w:szCs w:val="28"/>
        </w:rPr>
      </w:pPr>
      <w:r>
        <w:rPr>
          <w:rFonts w:hint="eastAsia" w:ascii="彩虹粗仿宋" w:hAnsi="彩虹粗仿宋" w:eastAsia="彩虹粗仿宋" w:cs="彩虹粗仿宋"/>
          <w:b/>
          <w:sz w:val="28"/>
          <w:szCs w:val="28"/>
        </w:rPr>
        <w:t>八、报价要求</w:t>
      </w:r>
    </w:p>
    <w:p>
      <w:pPr>
        <w:ind w:firstLine="560" w:firstLineChars="200"/>
        <w:rPr>
          <w:rFonts w:hint="default" w:ascii="彩虹粗仿宋" w:hAnsi="彩虹粗仿宋" w:eastAsia="彩虹粗仿宋" w:cs="彩虹粗仿宋"/>
          <w:b/>
          <w:sz w:val="28"/>
          <w:szCs w:val="28"/>
          <w:lang w:val="en-US"/>
        </w:rPr>
      </w:pPr>
      <w:r>
        <w:rPr>
          <w:rFonts w:hint="eastAsia" w:ascii="彩虹粗仿宋" w:hAnsi="彩虹粗仿宋" w:eastAsia="彩虹粗仿宋" w:cs="彩虹粗仿宋"/>
          <w:sz w:val="28"/>
          <w:szCs w:val="28"/>
          <w:lang w:val="en-US" w:eastAsia="zh-CN"/>
        </w:rPr>
        <w:t>以招标文件为准。</w:t>
      </w:r>
    </w:p>
    <w:p>
      <w:pPr>
        <w:adjustRightInd w:val="0"/>
        <w:snapToGrid w:val="0"/>
        <w:spacing w:line="560" w:lineRule="atLeast"/>
        <w:rPr>
          <w:rFonts w:ascii="彩虹粗仿宋" w:hAnsi="彩虹粗仿宋" w:eastAsia="彩虹粗仿宋" w:cs="彩虹粗仿宋"/>
          <w:sz w:val="28"/>
          <w:szCs w:val="28"/>
        </w:rPr>
      </w:pPr>
      <w:r>
        <w:rPr>
          <w:rFonts w:hint="eastAsia" w:ascii="彩虹粗仿宋" w:hAnsi="彩虹粗仿宋" w:eastAsia="彩虹粗仿宋" w:cs="彩虹粗仿宋"/>
          <w:b/>
          <w:sz w:val="28"/>
          <w:szCs w:val="28"/>
        </w:rPr>
        <w:t>九、</w:t>
      </w:r>
      <w:r>
        <w:rPr>
          <w:rFonts w:hint="eastAsia" w:ascii="彩虹粗仿宋" w:hAnsi="彩虹粗仿宋" w:eastAsia="彩虹粗仿宋" w:cs="彩虹粗仿宋"/>
          <w:sz w:val="28"/>
          <w:szCs w:val="28"/>
        </w:rPr>
        <w:t>业务量估算</w:t>
      </w:r>
    </w:p>
    <w:tbl>
      <w:tblPr>
        <w:tblStyle w:val="6"/>
        <w:tblW w:w="4996" w:type="pct"/>
        <w:tblInd w:w="0" w:type="dxa"/>
        <w:tblLayout w:type="autofit"/>
        <w:tblCellMar>
          <w:top w:w="0" w:type="dxa"/>
          <w:left w:w="108" w:type="dxa"/>
          <w:bottom w:w="0" w:type="dxa"/>
          <w:right w:w="108" w:type="dxa"/>
        </w:tblCellMar>
      </w:tblPr>
      <w:tblGrid>
        <w:gridCol w:w="1185"/>
        <w:gridCol w:w="2807"/>
        <w:gridCol w:w="2666"/>
        <w:gridCol w:w="2623"/>
      </w:tblGrid>
      <w:tr>
        <w:tblPrEx>
          <w:tblCellMar>
            <w:top w:w="0" w:type="dxa"/>
            <w:left w:w="108" w:type="dxa"/>
            <w:bottom w:w="0" w:type="dxa"/>
            <w:right w:w="108" w:type="dxa"/>
          </w:tblCellMar>
        </w:tblPrEx>
        <w:tc>
          <w:tcPr>
            <w:tcW w:w="3586" w:type="pct"/>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spacing w:before="109" w:beforeLines="35" w:after="109" w:afterLines="35"/>
              <w:jc w:val="center"/>
              <w:rPr>
                <w:rFonts w:ascii="宋体" w:hAnsi="宋体" w:eastAsia="宋体" w:cs="宋体"/>
                <w:kern w:val="0"/>
                <w:sz w:val="24"/>
                <w:szCs w:val="24"/>
              </w:rPr>
            </w:pPr>
            <w:r>
              <w:rPr>
                <w:rFonts w:hint="eastAsia" w:ascii="宋体" w:hAnsi="宋体" w:eastAsia="宋体" w:cs="宋体"/>
                <w:kern w:val="0"/>
                <w:sz w:val="24"/>
                <w:szCs w:val="24"/>
              </w:rPr>
              <w:t>外包内容</w:t>
            </w:r>
          </w:p>
        </w:tc>
        <w:tc>
          <w:tcPr>
            <w:tcW w:w="1413" w:type="pct"/>
            <w:tcBorders>
              <w:top w:val="single" w:color="000000" w:sz="8" w:space="0"/>
              <w:left w:val="nil"/>
              <w:bottom w:val="single" w:color="000000" w:sz="8" w:space="0"/>
              <w:right w:val="single" w:color="000000" w:sz="8" w:space="0"/>
            </w:tcBorders>
            <w:shd w:val="clear" w:color="auto" w:fill="auto"/>
            <w:vAlign w:val="center"/>
          </w:tcPr>
          <w:p>
            <w:pPr>
              <w:widowControl/>
              <w:spacing w:before="109" w:beforeLines="35" w:after="109" w:afterLines="35"/>
              <w:jc w:val="center"/>
              <w:rPr>
                <w:rFonts w:ascii="宋体" w:hAnsi="宋体" w:eastAsia="宋体" w:cs="宋体"/>
                <w:kern w:val="0"/>
                <w:sz w:val="24"/>
                <w:szCs w:val="24"/>
              </w:rPr>
            </w:pPr>
            <w:r>
              <w:rPr>
                <w:rFonts w:hint="eastAsia" w:ascii="宋体" w:hAnsi="宋体" w:eastAsia="宋体" w:cs="宋体"/>
                <w:kern w:val="0"/>
                <w:sz w:val="24"/>
                <w:szCs w:val="24"/>
              </w:rPr>
              <w:t>业务量</w:t>
            </w:r>
          </w:p>
        </w:tc>
      </w:tr>
      <w:tr>
        <w:tblPrEx>
          <w:tblCellMar>
            <w:top w:w="0" w:type="dxa"/>
            <w:left w:w="108" w:type="dxa"/>
            <w:bottom w:w="0" w:type="dxa"/>
            <w:right w:w="108" w:type="dxa"/>
          </w:tblCellMar>
        </w:tblPrEx>
        <w:tc>
          <w:tcPr>
            <w:tcW w:w="638" w:type="pct"/>
            <w:vMerge w:val="restart"/>
            <w:tcBorders>
              <w:top w:val="nil"/>
              <w:left w:val="single" w:color="000000" w:sz="8" w:space="0"/>
              <w:right w:val="single" w:color="000000" w:sz="8" w:space="0"/>
            </w:tcBorders>
            <w:shd w:val="clear" w:color="auto" w:fill="auto"/>
            <w:vAlign w:val="center"/>
          </w:tcPr>
          <w:p>
            <w:pPr>
              <w:widowControl/>
              <w:spacing w:before="109" w:beforeLines="35" w:after="109" w:afterLines="35"/>
              <w:jc w:val="center"/>
              <w:rPr>
                <w:rFonts w:ascii="宋体" w:hAnsi="宋体" w:eastAsia="宋体" w:cs="宋体"/>
                <w:kern w:val="0"/>
                <w:sz w:val="24"/>
                <w:szCs w:val="24"/>
              </w:rPr>
            </w:pPr>
            <w:r>
              <w:rPr>
                <w:rFonts w:hint="eastAsia" w:ascii="宋体" w:hAnsi="宋体" w:eastAsia="宋体" w:cs="宋体"/>
                <w:kern w:val="0"/>
                <w:sz w:val="24"/>
                <w:szCs w:val="24"/>
              </w:rPr>
              <w:t>标段一</w:t>
            </w:r>
          </w:p>
          <w:p>
            <w:pPr>
              <w:spacing w:before="109" w:beforeLines="35" w:after="109" w:afterLines="35"/>
              <w:jc w:val="center"/>
              <w:rPr>
                <w:rFonts w:ascii="宋体" w:hAnsi="宋体" w:eastAsia="宋体" w:cs="宋体"/>
                <w:kern w:val="0"/>
                <w:sz w:val="24"/>
                <w:szCs w:val="24"/>
              </w:rPr>
            </w:pPr>
          </w:p>
        </w:tc>
        <w:tc>
          <w:tcPr>
            <w:tcW w:w="2947" w:type="pct"/>
            <w:gridSpan w:val="2"/>
            <w:tcBorders>
              <w:top w:val="nil"/>
              <w:left w:val="nil"/>
              <w:bottom w:val="single" w:color="000000" w:sz="8" w:space="0"/>
              <w:right w:val="single" w:color="000000" w:sz="8" w:space="0"/>
            </w:tcBorders>
            <w:shd w:val="clear" w:color="auto" w:fill="auto"/>
            <w:vAlign w:val="center"/>
          </w:tcPr>
          <w:p>
            <w:pPr>
              <w:widowControl/>
              <w:spacing w:before="109" w:beforeLines="35" w:after="109" w:afterLines="35"/>
              <w:jc w:val="left"/>
              <w:rPr>
                <w:rFonts w:ascii="宋体" w:hAnsi="宋体" w:eastAsia="宋体" w:cs="宋体"/>
                <w:kern w:val="0"/>
                <w:sz w:val="24"/>
                <w:szCs w:val="24"/>
              </w:rPr>
            </w:pPr>
            <w:r>
              <w:rPr>
                <w:rFonts w:hint="eastAsia" w:ascii="宋体" w:hAnsi="宋体" w:eastAsia="宋体" w:cs="宋体"/>
                <w:kern w:val="0"/>
                <w:sz w:val="24"/>
                <w:szCs w:val="24"/>
              </w:rPr>
              <w:t>分期业务辅助服务(活动宣传及咨询、辅助维护合作单位、辅助产品推介)</w:t>
            </w:r>
          </w:p>
        </w:tc>
        <w:tc>
          <w:tcPr>
            <w:tcW w:w="1413" w:type="pct"/>
            <w:tcBorders>
              <w:top w:val="nil"/>
              <w:left w:val="nil"/>
              <w:bottom w:val="single" w:color="000000" w:sz="8" w:space="0"/>
              <w:right w:val="single" w:color="000000" w:sz="8" w:space="0"/>
            </w:tcBorders>
            <w:shd w:val="clear" w:color="auto" w:fill="auto"/>
            <w:vAlign w:val="center"/>
          </w:tcPr>
          <w:p>
            <w:pPr>
              <w:widowControl/>
              <w:spacing w:before="109" w:beforeLines="35" w:after="109" w:afterLines="35"/>
              <w:jc w:val="center"/>
              <w:rPr>
                <w:rFonts w:ascii="宋体" w:hAnsi="宋体" w:eastAsia="宋体" w:cs="宋体"/>
                <w:kern w:val="0"/>
                <w:sz w:val="24"/>
                <w:szCs w:val="24"/>
              </w:rPr>
            </w:pPr>
            <w:r>
              <w:rPr>
                <w:rFonts w:hint="eastAsia" w:ascii="宋体" w:hAnsi="宋体" w:eastAsia="宋体" w:cs="宋体"/>
                <w:kern w:val="0"/>
                <w:sz w:val="24"/>
                <w:szCs w:val="24"/>
              </w:rPr>
              <w:t>交易额5.75亿元（实现收入6210万元）</w:t>
            </w:r>
          </w:p>
        </w:tc>
      </w:tr>
      <w:tr>
        <w:tblPrEx>
          <w:tblCellMar>
            <w:top w:w="0" w:type="dxa"/>
            <w:left w:w="108" w:type="dxa"/>
            <w:bottom w:w="0" w:type="dxa"/>
            <w:right w:w="108" w:type="dxa"/>
          </w:tblCellMar>
        </w:tblPrEx>
        <w:tc>
          <w:tcPr>
            <w:tcW w:w="638" w:type="pct"/>
            <w:vMerge w:val="continue"/>
            <w:tcBorders>
              <w:left w:val="single" w:color="000000" w:sz="8" w:space="0"/>
              <w:right w:val="single" w:color="000000" w:sz="8" w:space="0"/>
            </w:tcBorders>
            <w:shd w:val="clear" w:color="auto" w:fill="auto"/>
            <w:vAlign w:val="center"/>
          </w:tcPr>
          <w:p>
            <w:pPr>
              <w:spacing w:before="109" w:beforeLines="35" w:after="109" w:afterLines="35"/>
              <w:jc w:val="center"/>
              <w:rPr>
                <w:rFonts w:ascii="宋体" w:hAnsi="宋体" w:eastAsia="宋体" w:cs="宋体"/>
                <w:kern w:val="0"/>
                <w:sz w:val="24"/>
                <w:szCs w:val="24"/>
              </w:rPr>
            </w:pPr>
          </w:p>
        </w:tc>
        <w:tc>
          <w:tcPr>
            <w:tcW w:w="1512" w:type="pct"/>
            <w:tcBorders>
              <w:top w:val="nil"/>
              <w:left w:val="nil"/>
              <w:bottom w:val="single" w:color="000000" w:sz="8" w:space="0"/>
              <w:right w:val="single" w:color="000000" w:sz="8" w:space="0"/>
            </w:tcBorders>
            <w:shd w:val="clear" w:color="auto" w:fill="auto"/>
            <w:vAlign w:val="center"/>
          </w:tcPr>
          <w:p>
            <w:pPr>
              <w:widowControl/>
              <w:spacing w:before="109" w:beforeLines="35" w:after="109" w:afterLines="35"/>
              <w:jc w:val="left"/>
              <w:rPr>
                <w:rFonts w:ascii="宋体" w:hAnsi="宋体" w:eastAsia="宋体" w:cs="宋体"/>
                <w:kern w:val="0"/>
                <w:sz w:val="24"/>
                <w:szCs w:val="24"/>
                <w:lang w:eastAsia="zh"/>
              </w:rPr>
            </w:pPr>
            <w:r>
              <w:rPr>
                <w:rFonts w:hint="eastAsia" w:ascii="宋体" w:hAnsi="宋体" w:eastAsia="宋体" w:cs="宋体"/>
                <w:kern w:val="0"/>
                <w:sz w:val="24"/>
                <w:szCs w:val="24"/>
                <w:lang w:eastAsia="zh"/>
              </w:rPr>
              <w:t>网络金融业务辅助服务</w:t>
            </w:r>
          </w:p>
        </w:tc>
        <w:tc>
          <w:tcPr>
            <w:tcW w:w="1435" w:type="pct"/>
            <w:tcBorders>
              <w:top w:val="nil"/>
              <w:left w:val="nil"/>
              <w:bottom w:val="single" w:color="000000" w:sz="8" w:space="0"/>
              <w:right w:val="single" w:color="000000" w:sz="8" w:space="0"/>
            </w:tcBorders>
            <w:shd w:val="clear" w:color="auto" w:fill="auto"/>
            <w:vAlign w:val="center"/>
          </w:tcPr>
          <w:p>
            <w:pPr>
              <w:widowControl/>
              <w:spacing w:before="109" w:beforeLines="35" w:after="109" w:afterLines="35"/>
              <w:jc w:val="left"/>
              <w:rPr>
                <w:rFonts w:ascii="宋体" w:hAnsi="宋体" w:eastAsia="宋体" w:cs="宋体"/>
                <w:kern w:val="0"/>
                <w:sz w:val="24"/>
                <w:szCs w:val="24"/>
                <w:lang w:eastAsia="zh"/>
              </w:rPr>
            </w:pPr>
            <w:r>
              <w:rPr>
                <w:rFonts w:hint="eastAsia" w:ascii="宋体" w:hAnsi="宋体" w:eastAsia="宋体" w:cs="宋体"/>
                <w:kern w:val="0"/>
                <w:sz w:val="24"/>
                <w:szCs w:val="24"/>
                <w:lang w:eastAsia="zh"/>
              </w:rPr>
              <w:t>手机银行下载注册辅助</w:t>
            </w:r>
          </w:p>
        </w:tc>
        <w:tc>
          <w:tcPr>
            <w:tcW w:w="1413" w:type="pct"/>
            <w:tcBorders>
              <w:top w:val="nil"/>
              <w:left w:val="nil"/>
              <w:bottom w:val="single" w:color="000000" w:sz="8" w:space="0"/>
              <w:right w:val="single" w:color="000000" w:sz="8" w:space="0"/>
            </w:tcBorders>
            <w:shd w:val="clear" w:color="auto" w:fill="auto"/>
            <w:vAlign w:val="center"/>
          </w:tcPr>
          <w:p>
            <w:pPr>
              <w:widowControl/>
              <w:spacing w:before="109" w:beforeLines="35" w:after="109" w:afterLines="35"/>
              <w:jc w:val="center"/>
              <w:rPr>
                <w:rFonts w:ascii="宋体" w:hAnsi="宋体" w:eastAsia="宋体" w:cs="宋体"/>
                <w:kern w:val="0"/>
                <w:sz w:val="24"/>
                <w:szCs w:val="24"/>
                <w:lang w:eastAsia="zh"/>
              </w:rPr>
            </w:pPr>
            <w:r>
              <w:rPr>
                <w:rFonts w:hint="eastAsia" w:ascii="宋体" w:hAnsi="宋体" w:eastAsia="宋体" w:cs="宋体"/>
                <w:kern w:val="0"/>
                <w:sz w:val="24"/>
                <w:szCs w:val="24"/>
                <w:lang w:eastAsia="zh"/>
              </w:rPr>
              <w:t>16万户</w:t>
            </w:r>
          </w:p>
        </w:tc>
      </w:tr>
      <w:tr>
        <w:tblPrEx>
          <w:tblCellMar>
            <w:top w:w="0" w:type="dxa"/>
            <w:left w:w="108" w:type="dxa"/>
            <w:bottom w:w="0" w:type="dxa"/>
            <w:right w:w="108" w:type="dxa"/>
          </w:tblCellMar>
        </w:tblPrEx>
        <w:tc>
          <w:tcPr>
            <w:tcW w:w="638" w:type="pct"/>
            <w:vMerge w:val="continue"/>
            <w:tcBorders>
              <w:left w:val="single" w:color="000000" w:sz="8" w:space="0"/>
              <w:right w:val="single" w:color="000000" w:sz="8" w:space="0"/>
            </w:tcBorders>
            <w:shd w:val="clear" w:color="auto" w:fill="auto"/>
            <w:vAlign w:val="center"/>
          </w:tcPr>
          <w:p>
            <w:pPr>
              <w:spacing w:before="109" w:beforeLines="35" w:after="109" w:afterLines="35"/>
              <w:jc w:val="center"/>
              <w:rPr>
                <w:rFonts w:ascii="宋体" w:hAnsi="宋体" w:eastAsia="宋体" w:cs="宋体"/>
                <w:kern w:val="0"/>
                <w:sz w:val="24"/>
                <w:szCs w:val="24"/>
              </w:rPr>
            </w:pPr>
          </w:p>
        </w:tc>
        <w:tc>
          <w:tcPr>
            <w:tcW w:w="1512" w:type="pct"/>
            <w:tcBorders>
              <w:top w:val="nil"/>
              <w:left w:val="nil"/>
              <w:bottom w:val="single" w:color="000000" w:sz="8" w:space="0"/>
              <w:right w:val="single" w:color="000000" w:sz="8" w:space="0"/>
            </w:tcBorders>
            <w:shd w:val="clear" w:color="auto" w:fill="auto"/>
            <w:vAlign w:val="center"/>
          </w:tcPr>
          <w:p>
            <w:pPr>
              <w:widowControl/>
              <w:spacing w:before="109" w:beforeLines="35" w:after="109" w:afterLines="35"/>
              <w:jc w:val="left"/>
              <w:rPr>
                <w:rFonts w:ascii="宋体" w:hAnsi="宋体" w:eastAsia="宋体" w:cs="宋体"/>
                <w:kern w:val="0"/>
                <w:sz w:val="24"/>
                <w:szCs w:val="24"/>
              </w:rPr>
            </w:pPr>
            <w:r>
              <w:rPr>
                <w:rFonts w:hint="eastAsia" w:ascii="宋体" w:hAnsi="宋体" w:eastAsia="宋体" w:cs="宋体"/>
                <w:kern w:val="0"/>
                <w:sz w:val="24"/>
                <w:szCs w:val="24"/>
                <w:lang w:eastAsia="zh"/>
              </w:rPr>
              <w:t>网络金融业务辅助服务</w:t>
            </w:r>
          </w:p>
        </w:tc>
        <w:tc>
          <w:tcPr>
            <w:tcW w:w="1435" w:type="pct"/>
            <w:tcBorders>
              <w:top w:val="nil"/>
              <w:left w:val="nil"/>
              <w:bottom w:val="single" w:color="000000" w:sz="8" w:space="0"/>
              <w:right w:val="single" w:color="000000" w:sz="8" w:space="0"/>
            </w:tcBorders>
            <w:shd w:val="clear" w:color="auto" w:fill="auto"/>
            <w:vAlign w:val="center"/>
          </w:tcPr>
          <w:p>
            <w:pPr>
              <w:widowControl/>
              <w:spacing w:before="109" w:beforeLines="35" w:after="109" w:afterLines="35"/>
              <w:jc w:val="left"/>
              <w:rPr>
                <w:rFonts w:ascii="宋体" w:hAnsi="宋体" w:eastAsia="宋体" w:cs="宋体"/>
                <w:kern w:val="0"/>
                <w:sz w:val="24"/>
                <w:szCs w:val="24"/>
                <w:lang w:eastAsia="zh"/>
              </w:rPr>
            </w:pPr>
            <w:r>
              <w:rPr>
                <w:rFonts w:hint="eastAsia" w:ascii="宋体" w:hAnsi="宋体" w:eastAsia="宋体" w:cs="宋体"/>
                <w:kern w:val="0"/>
                <w:sz w:val="24"/>
                <w:szCs w:val="24"/>
                <w:lang w:eastAsia="zh"/>
              </w:rPr>
              <w:t>手机银行激活辅助</w:t>
            </w:r>
          </w:p>
        </w:tc>
        <w:tc>
          <w:tcPr>
            <w:tcW w:w="1413" w:type="pct"/>
            <w:tcBorders>
              <w:top w:val="nil"/>
              <w:left w:val="nil"/>
              <w:bottom w:val="single" w:color="000000" w:sz="8" w:space="0"/>
              <w:right w:val="single" w:color="000000" w:sz="8" w:space="0"/>
            </w:tcBorders>
            <w:shd w:val="clear" w:color="auto" w:fill="auto"/>
            <w:vAlign w:val="center"/>
          </w:tcPr>
          <w:p>
            <w:pPr>
              <w:widowControl/>
              <w:spacing w:before="109" w:beforeLines="35" w:after="109" w:afterLines="35"/>
              <w:jc w:val="center"/>
              <w:rPr>
                <w:rFonts w:ascii="宋体" w:hAnsi="宋体" w:eastAsia="宋体" w:cs="宋体"/>
                <w:kern w:val="0"/>
                <w:sz w:val="24"/>
                <w:szCs w:val="24"/>
                <w:lang w:eastAsia="zh"/>
              </w:rPr>
            </w:pPr>
            <w:r>
              <w:rPr>
                <w:rFonts w:hint="eastAsia" w:ascii="宋体" w:hAnsi="宋体" w:eastAsia="宋体" w:cs="宋体"/>
                <w:kern w:val="0"/>
                <w:sz w:val="24"/>
                <w:szCs w:val="24"/>
                <w:lang w:eastAsia="zh"/>
              </w:rPr>
              <w:t>14.4万户</w:t>
            </w:r>
          </w:p>
        </w:tc>
      </w:tr>
      <w:tr>
        <w:tblPrEx>
          <w:tblCellMar>
            <w:top w:w="0" w:type="dxa"/>
            <w:left w:w="108" w:type="dxa"/>
            <w:bottom w:w="0" w:type="dxa"/>
            <w:right w:w="108" w:type="dxa"/>
          </w:tblCellMar>
        </w:tblPrEx>
        <w:tc>
          <w:tcPr>
            <w:tcW w:w="638" w:type="pct"/>
            <w:vMerge w:val="continue"/>
            <w:tcBorders>
              <w:left w:val="single" w:color="000000" w:sz="8" w:space="0"/>
              <w:right w:val="single" w:color="000000" w:sz="8" w:space="0"/>
            </w:tcBorders>
            <w:shd w:val="clear" w:color="auto" w:fill="auto"/>
            <w:vAlign w:val="center"/>
          </w:tcPr>
          <w:p>
            <w:pPr>
              <w:spacing w:before="109" w:beforeLines="35" w:after="109" w:afterLines="35"/>
              <w:jc w:val="center"/>
              <w:rPr>
                <w:rFonts w:ascii="宋体" w:hAnsi="宋体" w:eastAsia="宋体" w:cs="宋体"/>
                <w:kern w:val="0"/>
                <w:sz w:val="24"/>
                <w:szCs w:val="24"/>
              </w:rPr>
            </w:pPr>
          </w:p>
        </w:tc>
        <w:tc>
          <w:tcPr>
            <w:tcW w:w="1512" w:type="pct"/>
            <w:tcBorders>
              <w:top w:val="nil"/>
              <w:left w:val="nil"/>
              <w:bottom w:val="single" w:color="000000" w:sz="8" w:space="0"/>
              <w:right w:val="single" w:color="000000" w:sz="8" w:space="0"/>
            </w:tcBorders>
            <w:shd w:val="clear" w:color="auto" w:fill="auto"/>
            <w:vAlign w:val="center"/>
          </w:tcPr>
          <w:p>
            <w:pPr>
              <w:widowControl/>
              <w:spacing w:before="109" w:beforeLines="35" w:after="109" w:afterLines="35"/>
              <w:jc w:val="left"/>
              <w:rPr>
                <w:rFonts w:ascii="宋体" w:hAnsi="宋体" w:eastAsia="宋体" w:cs="宋体"/>
                <w:kern w:val="0"/>
                <w:sz w:val="24"/>
                <w:szCs w:val="24"/>
              </w:rPr>
            </w:pPr>
            <w:r>
              <w:rPr>
                <w:rFonts w:hint="eastAsia" w:ascii="宋体" w:hAnsi="宋体" w:eastAsia="宋体" w:cs="宋体"/>
                <w:kern w:val="0"/>
                <w:sz w:val="24"/>
                <w:szCs w:val="24"/>
                <w:lang w:eastAsia="zh"/>
              </w:rPr>
              <w:t>网络金融业务辅助服务</w:t>
            </w:r>
          </w:p>
        </w:tc>
        <w:tc>
          <w:tcPr>
            <w:tcW w:w="1435" w:type="pct"/>
            <w:tcBorders>
              <w:top w:val="nil"/>
              <w:left w:val="nil"/>
              <w:bottom w:val="single" w:color="000000" w:sz="8" w:space="0"/>
              <w:right w:val="single" w:color="000000" w:sz="8" w:space="0"/>
            </w:tcBorders>
            <w:shd w:val="clear" w:color="auto" w:fill="auto"/>
            <w:vAlign w:val="center"/>
          </w:tcPr>
          <w:p>
            <w:pPr>
              <w:widowControl/>
              <w:spacing w:before="109" w:beforeLines="35" w:after="109" w:afterLines="35"/>
              <w:jc w:val="left"/>
              <w:rPr>
                <w:rFonts w:ascii="宋体" w:hAnsi="宋体" w:eastAsia="宋体" w:cs="宋体"/>
                <w:kern w:val="0"/>
                <w:sz w:val="24"/>
                <w:szCs w:val="24"/>
                <w:lang w:eastAsia="zh"/>
              </w:rPr>
            </w:pPr>
            <w:r>
              <w:rPr>
                <w:rFonts w:hint="eastAsia" w:ascii="宋体" w:hAnsi="宋体" w:eastAsia="宋体" w:cs="宋体"/>
                <w:kern w:val="0"/>
                <w:sz w:val="24"/>
                <w:szCs w:val="24"/>
                <w:lang w:eastAsia="zh"/>
              </w:rPr>
              <w:t>快捷绑卡辅助（微信+支付宝）</w:t>
            </w:r>
          </w:p>
        </w:tc>
        <w:tc>
          <w:tcPr>
            <w:tcW w:w="1413" w:type="pct"/>
            <w:tcBorders>
              <w:top w:val="nil"/>
              <w:left w:val="nil"/>
              <w:bottom w:val="single" w:color="000000" w:sz="8" w:space="0"/>
              <w:right w:val="single" w:color="000000" w:sz="8" w:space="0"/>
            </w:tcBorders>
            <w:shd w:val="clear" w:color="auto" w:fill="auto"/>
            <w:vAlign w:val="center"/>
          </w:tcPr>
          <w:p>
            <w:pPr>
              <w:widowControl/>
              <w:spacing w:before="109" w:beforeLines="35" w:after="109" w:afterLines="35"/>
              <w:jc w:val="center"/>
              <w:rPr>
                <w:rFonts w:ascii="宋体" w:hAnsi="宋体" w:eastAsia="宋体" w:cs="宋体"/>
                <w:kern w:val="0"/>
                <w:sz w:val="24"/>
                <w:szCs w:val="24"/>
                <w:lang w:eastAsia="zh"/>
              </w:rPr>
            </w:pPr>
            <w:r>
              <w:rPr>
                <w:rFonts w:hint="eastAsia" w:ascii="宋体" w:hAnsi="宋体" w:eastAsia="宋体" w:cs="宋体"/>
                <w:kern w:val="0"/>
                <w:sz w:val="24"/>
                <w:szCs w:val="24"/>
                <w:lang w:eastAsia="zh"/>
              </w:rPr>
              <w:t>28.8万户</w:t>
            </w:r>
          </w:p>
        </w:tc>
      </w:tr>
      <w:tr>
        <w:tblPrEx>
          <w:tblCellMar>
            <w:top w:w="0" w:type="dxa"/>
            <w:left w:w="108" w:type="dxa"/>
            <w:bottom w:w="0" w:type="dxa"/>
            <w:right w:w="108" w:type="dxa"/>
          </w:tblCellMar>
        </w:tblPrEx>
        <w:tc>
          <w:tcPr>
            <w:tcW w:w="638" w:type="pct"/>
            <w:vMerge w:val="continue"/>
            <w:tcBorders>
              <w:left w:val="single" w:color="000000" w:sz="8" w:space="0"/>
              <w:right w:val="single" w:color="000000" w:sz="8" w:space="0"/>
            </w:tcBorders>
            <w:shd w:val="clear" w:color="auto" w:fill="auto"/>
            <w:vAlign w:val="center"/>
          </w:tcPr>
          <w:p>
            <w:pPr>
              <w:spacing w:before="109" w:beforeLines="35" w:after="109" w:afterLines="35"/>
              <w:jc w:val="center"/>
              <w:rPr>
                <w:rFonts w:ascii="宋体" w:hAnsi="宋体" w:eastAsia="宋体" w:cs="宋体"/>
                <w:kern w:val="0"/>
                <w:sz w:val="24"/>
                <w:szCs w:val="24"/>
              </w:rPr>
            </w:pPr>
          </w:p>
        </w:tc>
        <w:tc>
          <w:tcPr>
            <w:tcW w:w="1512" w:type="pct"/>
            <w:tcBorders>
              <w:top w:val="nil"/>
              <w:left w:val="nil"/>
              <w:bottom w:val="single" w:color="000000" w:sz="8" w:space="0"/>
              <w:right w:val="single" w:color="000000" w:sz="8" w:space="0"/>
            </w:tcBorders>
            <w:shd w:val="clear" w:color="auto" w:fill="auto"/>
            <w:vAlign w:val="center"/>
          </w:tcPr>
          <w:p>
            <w:pPr>
              <w:widowControl/>
              <w:spacing w:before="109" w:beforeLines="35" w:after="109" w:afterLines="35"/>
              <w:jc w:val="left"/>
              <w:rPr>
                <w:rFonts w:ascii="宋体" w:hAnsi="宋体" w:eastAsia="宋体" w:cs="宋体"/>
                <w:kern w:val="0"/>
                <w:sz w:val="24"/>
                <w:szCs w:val="24"/>
              </w:rPr>
            </w:pPr>
            <w:r>
              <w:rPr>
                <w:rFonts w:hint="eastAsia" w:ascii="宋体" w:hAnsi="宋体" w:eastAsia="宋体" w:cs="宋体"/>
                <w:kern w:val="0"/>
                <w:sz w:val="24"/>
                <w:szCs w:val="24"/>
                <w:lang w:eastAsia="zh"/>
              </w:rPr>
              <w:t>网络金融业务辅助服务</w:t>
            </w:r>
          </w:p>
        </w:tc>
        <w:tc>
          <w:tcPr>
            <w:tcW w:w="1435" w:type="pct"/>
            <w:tcBorders>
              <w:top w:val="nil"/>
              <w:left w:val="nil"/>
              <w:bottom w:val="single" w:color="000000" w:sz="8" w:space="0"/>
              <w:right w:val="single" w:color="000000" w:sz="8" w:space="0"/>
            </w:tcBorders>
            <w:shd w:val="clear" w:color="auto" w:fill="auto"/>
            <w:vAlign w:val="center"/>
          </w:tcPr>
          <w:p>
            <w:pPr>
              <w:widowControl/>
              <w:spacing w:before="109" w:beforeLines="35" w:after="109" w:afterLines="35"/>
              <w:jc w:val="left"/>
              <w:rPr>
                <w:rFonts w:ascii="宋体" w:hAnsi="宋体" w:eastAsia="宋体" w:cs="宋体"/>
                <w:kern w:val="0"/>
                <w:sz w:val="24"/>
                <w:szCs w:val="24"/>
                <w:lang w:eastAsia="zh"/>
              </w:rPr>
            </w:pPr>
            <w:r>
              <w:rPr>
                <w:rFonts w:hint="eastAsia" w:ascii="宋体" w:hAnsi="宋体" w:eastAsia="宋体" w:cs="宋体"/>
                <w:kern w:val="0"/>
                <w:sz w:val="24"/>
                <w:szCs w:val="24"/>
                <w:lang w:eastAsia="zh"/>
              </w:rPr>
              <w:t>快捷绑卡辅助（其他）</w:t>
            </w:r>
          </w:p>
        </w:tc>
        <w:tc>
          <w:tcPr>
            <w:tcW w:w="1413" w:type="pct"/>
            <w:tcBorders>
              <w:top w:val="nil"/>
              <w:left w:val="nil"/>
              <w:bottom w:val="single" w:color="000000" w:sz="8" w:space="0"/>
              <w:right w:val="single" w:color="000000" w:sz="8" w:space="0"/>
            </w:tcBorders>
            <w:shd w:val="clear" w:color="auto" w:fill="auto"/>
            <w:vAlign w:val="center"/>
          </w:tcPr>
          <w:p>
            <w:pPr>
              <w:widowControl/>
              <w:spacing w:before="109" w:beforeLines="35" w:after="109" w:afterLines="35"/>
              <w:jc w:val="center"/>
              <w:rPr>
                <w:rFonts w:ascii="宋体" w:hAnsi="宋体" w:eastAsia="宋体" w:cs="宋体"/>
                <w:kern w:val="0"/>
                <w:sz w:val="24"/>
                <w:szCs w:val="24"/>
                <w:lang w:eastAsia="zh"/>
              </w:rPr>
            </w:pPr>
            <w:r>
              <w:rPr>
                <w:rFonts w:hint="eastAsia" w:ascii="宋体" w:hAnsi="宋体" w:eastAsia="宋体" w:cs="宋体"/>
                <w:kern w:val="0"/>
                <w:sz w:val="24"/>
                <w:szCs w:val="24"/>
                <w:lang w:eastAsia="zh"/>
              </w:rPr>
              <w:t>23万户</w:t>
            </w:r>
          </w:p>
        </w:tc>
      </w:tr>
      <w:tr>
        <w:tblPrEx>
          <w:tblCellMar>
            <w:top w:w="0" w:type="dxa"/>
            <w:left w:w="108" w:type="dxa"/>
            <w:bottom w:w="0" w:type="dxa"/>
            <w:right w:w="108" w:type="dxa"/>
          </w:tblCellMar>
        </w:tblPrEx>
        <w:tc>
          <w:tcPr>
            <w:tcW w:w="638" w:type="pct"/>
            <w:vMerge w:val="continue"/>
            <w:tcBorders>
              <w:left w:val="single" w:color="000000" w:sz="8" w:space="0"/>
              <w:right w:val="single" w:color="000000" w:sz="8" w:space="0"/>
            </w:tcBorders>
            <w:shd w:val="clear" w:color="auto" w:fill="auto"/>
            <w:vAlign w:val="center"/>
          </w:tcPr>
          <w:p>
            <w:pPr>
              <w:spacing w:before="109" w:beforeLines="35" w:after="109" w:afterLines="35"/>
              <w:jc w:val="center"/>
              <w:rPr>
                <w:rFonts w:ascii="宋体" w:hAnsi="宋体" w:eastAsia="宋体" w:cs="宋体"/>
                <w:kern w:val="0"/>
                <w:sz w:val="24"/>
                <w:szCs w:val="24"/>
              </w:rPr>
            </w:pPr>
          </w:p>
        </w:tc>
        <w:tc>
          <w:tcPr>
            <w:tcW w:w="1512" w:type="pct"/>
            <w:tcBorders>
              <w:top w:val="nil"/>
              <w:left w:val="nil"/>
              <w:bottom w:val="single" w:color="000000" w:sz="8" w:space="0"/>
              <w:right w:val="single" w:color="000000" w:sz="8" w:space="0"/>
            </w:tcBorders>
            <w:shd w:val="clear" w:color="auto" w:fill="auto"/>
            <w:vAlign w:val="center"/>
          </w:tcPr>
          <w:p>
            <w:pPr>
              <w:widowControl/>
              <w:spacing w:before="109" w:beforeLines="35" w:after="109" w:afterLines="35"/>
              <w:jc w:val="left"/>
              <w:rPr>
                <w:rFonts w:ascii="宋体" w:hAnsi="宋体" w:eastAsia="宋体" w:cs="宋体"/>
                <w:kern w:val="0"/>
                <w:sz w:val="24"/>
                <w:szCs w:val="24"/>
              </w:rPr>
            </w:pPr>
            <w:r>
              <w:rPr>
                <w:rFonts w:hint="eastAsia" w:ascii="宋体" w:hAnsi="宋体" w:eastAsia="宋体" w:cs="宋体"/>
                <w:kern w:val="0"/>
                <w:sz w:val="24"/>
                <w:szCs w:val="24"/>
                <w:lang w:eastAsia="zh"/>
              </w:rPr>
              <w:t>网络金融业务辅助服务</w:t>
            </w:r>
          </w:p>
        </w:tc>
        <w:tc>
          <w:tcPr>
            <w:tcW w:w="1435" w:type="pct"/>
            <w:tcBorders>
              <w:top w:val="nil"/>
              <w:left w:val="nil"/>
              <w:bottom w:val="single" w:color="000000" w:sz="8" w:space="0"/>
              <w:right w:val="single" w:color="000000" w:sz="8" w:space="0"/>
            </w:tcBorders>
            <w:shd w:val="clear" w:color="auto" w:fill="auto"/>
            <w:vAlign w:val="center"/>
          </w:tcPr>
          <w:p>
            <w:pPr>
              <w:widowControl/>
              <w:spacing w:before="109" w:beforeLines="35" w:after="109" w:afterLines="35"/>
              <w:jc w:val="left"/>
              <w:rPr>
                <w:rFonts w:ascii="宋体" w:hAnsi="宋体" w:eastAsia="宋体" w:cs="宋体"/>
                <w:kern w:val="0"/>
                <w:sz w:val="24"/>
                <w:szCs w:val="24"/>
                <w:lang w:eastAsia="zh"/>
              </w:rPr>
            </w:pPr>
            <w:r>
              <w:rPr>
                <w:rFonts w:hint="eastAsia" w:ascii="宋体" w:hAnsi="宋体" w:eastAsia="宋体" w:cs="宋体"/>
                <w:kern w:val="0"/>
                <w:sz w:val="24"/>
                <w:szCs w:val="24"/>
                <w:lang w:eastAsia="zh"/>
              </w:rPr>
              <w:t>快捷绑卡交易（微信+支付宝）</w:t>
            </w:r>
          </w:p>
        </w:tc>
        <w:tc>
          <w:tcPr>
            <w:tcW w:w="1413" w:type="pct"/>
            <w:tcBorders>
              <w:top w:val="nil"/>
              <w:left w:val="nil"/>
              <w:bottom w:val="single" w:color="000000" w:sz="8" w:space="0"/>
              <w:right w:val="single" w:color="000000" w:sz="8" w:space="0"/>
            </w:tcBorders>
            <w:shd w:val="clear" w:color="auto" w:fill="auto"/>
            <w:vAlign w:val="center"/>
          </w:tcPr>
          <w:p>
            <w:pPr>
              <w:widowControl/>
              <w:spacing w:before="109" w:beforeLines="35" w:after="109" w:afterLines="35"/>
              <w:jc w:val="center"/>
              <w:rPr>
                <w:rFonts w:ascii="宋体" w:hAnsi="宋体" w:eastAsia="宋体" w:cs="宋体"/>
                <w:kern w:val="0"/>
                <w:sz w:val="24"/>
                <w:szCs w:val="24"/>
                <w:lang w:eastAsia="zh"/>
              </w:rPr>
            </w:pPr>
            <w:r>
              <w:rPr>
                <w:rFonts w:hint="eastAsia" w:ascii="宋体" w:hAnsi="宋体" w:eastAsia="宋体" w:cs="宋体"/>
                <w:kern w:val="0"/>
                <w:sz w:val="24"/>
                <w:szCs w:val="24"/>
                <w:lang w:eastAsia="zh"/>
              </w:rPr>
              <w:t>23万户</w:t>
            </w:r>
          </w:p>
        </w:tc>
      </w:tr>
      <w:tr>
        <w:tblPrEx>
          <w:tblCellMar>
            <w:top w:w="0" w:type="dxa"/>
            <w:left w:w="108" w:type="dxa"/>
            <w:bottom w:w="0" w:type="dxa"/>
            <w:right w:w="108" w:type="dxa"/>
          </w:tblCellMar>
        </w:tblPrEx>
        <w:tc>
          <w:tcPr>
            <w:tcW w:w="638" w:type="pct"/>
            <w:vMerge w:val="continue"/>
            <w:tcBorders>
              <w:left w:val="single" w:color="000000" w:sz="8" w:space="0"/>
              <w:right w:val="single" w:color="000000" w:sz="8" w:space="0"/>
            </w:tcBorders>
            <w:shd w:val="clear" w:color="auto" w:fill="auto"/>
            <w:vAlign w:val="center"/>
          </w:tcPr>
          <w:p>
            <w:pPr>
              <w:spacing w:before="109" w:beforeLines="35" w:after="109" w:afterLines="35"/>
              <w:jc w:val="center"/>
              <w:rPr>
                <w:rFonts w:ascii="宋体" w:hAnsi="宋体" w:eastAsia="宋体" w:cs="宋体"/>
                <w:kern w:val="0"/>
                <w:sz w:val="24"/>
                <w:szCs w:val="24"/>
              </w:rPr>
            </w:pPr>
          </w:p>
        </w:tc>
        <w:tc>
          <w:tcPr>
            <w:tcW w:w="1512" w:type="pct"/>
            <w:tcBorders>
              <w:top w:val="nil"/>
              <w:left w:val="nil"/>
              <w:bottom w:val="single" w:color="000000" w:sz="8" w:space="0"/>
              <w:right w:val="single" w:color="000000" w:sz="8" w:space="0"/>
            </w:tcBorders>
            <w:shd w:val="clear" w:color="auto" w:fill="auto"/>
            <w:vAlign w:val="center"/>
          </w:tcPr>
          <w:p>
            <w:pPr>
              <w:widowControl/>
              <w:spacing w:before="109" w:beforeLines="35" w:after="109" w:afterLines="35"/>
              <w:jc w:val="left"/>
              <w:rPr>
                <w:rFonts w:ascii="宋体" w:hAnsi="宋体" w:eastAsia="宋体" w:cs="宋体"/>
                <w:kern w:val="0"/>
                <w:sz w:val="24"/>
                <w:szCs w:val="24"/>
              </w:rPr>
            </w:pPr>
            <w:r>
              <w:rPr>
                <w:rFonts w:hint="eastAsia" w:ascii="宋体" w:hAnsi="宋体" w:eastAsia="宋体" w:cs="宋体"/>
                <w:kern w:val="0"/>
                <w:sz w:val="24"/>
                <w:szCs w:val="24"/>
                <w:lang w:eastAsia="zh"/>
              </w:rPr>
              <w:t>网络金融业务辅助服务</w:t>
            </w:r>
          </w:p>
        </w:tc>
        <w:tc>
          <w:tcPr>
            <w:tcW w:w="1435" w:type="pct"/>
            <w:tcBorders>
              <w:top w:val="nil"/>
              <w:left w:val="nil"/>
              <w:bottom w:val="single" w:color="000000" w:sz="8" w:space="0"/>
              <w:right w:val="single" w:color="000000" w:sz="8" w:space="0"/>
            </w:tcBorders>
            <w:shd w:val="clear" w:color="auto" w:fill="auto"/>
            <w:vAlign w:val="center"/>
          </w:tcPr>
          <w:p>
            <w:pPr>
              <w:widowControl/>
              <w:spacing w:before="109" w:beforeLines="35" w:after="109" w:afterLines="35"/>
              <w:jc w:val="left"/>
              <w:rPr>
                <w:rFonts w:ascii="宋体" w:hAnsi="宋体" w:eastAsia="宋体" w:cs="宋体"/>
                <w:kern w:val="0"/>
                <w:sz w:val="24"/>
                <w:szCs w:val="24"/>
                <w:lang w:eastAsia="zh"/>
              </w:rPr>
            </w:pPr>
            <w:r>
              <w:rPr>
                <w:rFonts w:hint="eastAsia" w:ascii="宋体" w:hAnsi="宋体" w:eastAsia="宋体" w:cs="宋体"/>
                <w:kern w:val="0"/>
                <w:sz w:val="24"/>
                <w:szCs w:val="24"/>
                <w:lang w:eastAsia="zh"/>
              </w:rPr>
              <w:t>惠省钱活动辅助</w:t>
            </w:r>
          </w:p>
        </w:tc>
        <w:tc>
          <w:tcPr>
            <w:tcW w:w="1413" w:type="pct"/>
            <w:tcBorders>
              <w:top w:val="nil"/>
              <w:left w:val="nil"/>
              <w:bottom w:val="single" w:color="000000" w:sz="8" w:space="0"/>
              <w:right w:val="single" w:color="000000" w:sz="8" w:space="0"/>
            </w:tcBorders>
            <w:shd w:val="clear" w:color="auto" w:fill="auto"/>
            <w:vAlign w:val="center"/>
          </w:tcPr>
          <w:p>
            <w:pPr>
              <w:widowControl/>
              <w:spacing w:before="109" w:beforeLines="35" w:after="109" w:afterLines="35"/>
              <w:jc w:val="center"/>
              <w:rPr>
                <w:rFonts w:ascii="宋体" w:hAnsi="宋体" w:eastAsia="宋体" w:cs="宋体"/>
                <w:kern w:val="0"/>
                <w:sz w:val="24"/>
                <w:szCs w:val="24"/>
                <w:lang w:eastAsia="zh"/>
              </w:rPr>
            </w:pPr>
            <w:r>
              <w:rPr>
                <w:rFonts w:hint="eastAsia" w:ascii="宋体" w:hAnsi="宋体" w:eastAsia="宋体" w:cs="宋体"/>
                <w:kern w:val="0"/>
                <w:sz w:val="24"/>
                <w:szCs w:val="24"/>
                <w:lang w:eastAsia="zh"/>
              </w:rPr>
              <w:t>7万户</w:t>
            </w:r>
          </w:p>
        </w:tc>
      </w:tr>
      <w:tr>
        <w:tblPrEx>
          <w:tblCellMar>
            <w:top w:w="0" w:type="dxa"/>
            <w:left w:w="108" w:type="dxa"/>
            <w:bottom w:w="0" w:type="dxa"/>
            <w:right w:w="108" w:type="dxa"/>
          </w:tblCellMar>
        </w:tblPrEx>
        <w:tc>
          <w:tcPr>
            <w:tcW w:w="638" w:type="pct"/>
            <w:vMerge w:val="continue"/>
            <w:tcBorders>
              <w:left w:val="single" w:color="000000" w:sz="8" w:space="0"/>
              <w:right w:val="single" w:color="000000" w:sz="8" w:space="0"/>
            </w:tcBorders>
            <w:shd w:val="clear" w:color="auto" w:fill="auto"/>
            <w:vAlign w:val="center"/>
          </w:tcPr>
          <w:p>
            <w:pPr>
              <w:spacing w:before="109" w:beforeLines="35" w:after="109" w:afterLines="35"/>
              <w:jc w:val="center"/>
              <w:rPr>
                <w:rFonts w:ascii="宋体" w:hAnsi="宋体" w:eastAsia="宋体" w:cs="宋体"/>
                <w:kern w:val="0"/>
                <w:sz w:val="24"/>
                <w:szCs w:val="24"/>
              </w:rPr>
            </w:pPr>
          </w:p>
        </w:tc>
        <w:tc>
          <w:tcPr>
            <w:tcW w:w="1512" w:type="pct"/>
            <w:tcBorders>
              <w:top w:val="nil"/>
              <w:left w:val="nil"/>
              <w:bottom w:val="single" w:color="000000" w:sz="8" w:space="0"/>
              <w:right w:val="single" w:color="000000" w:sz="8" w:space="0"/>
            </w:tcBorders>
            <w:shd w:val="clear" w:color="auto" w:fill="auto"/>
            <w:vAlign w:val="center"/>
          </w:tcPr>
          <w:p>
            <w:pPr>
              <w:widowControl/>
              <w:spacing w:before="109" w:beforeLines="35" w:after="109" w:afterLines="35"/>
              <w:jc w:val="left"/>
              <w:rPr>
                <w:rFonts w:ascii="宋体" w:hAnsi="宋体" w:eastAsia="宋体" w:cs="宋体"/>
                <w:kern w:val="0"/>
                <w:sz w:val="24"/>
                <w:szCs w:val="24"/>
              </w:rPr>
            </w:pPr>
            <w:r>
              <w:rPr>
                <w:rFonts w:hint="eastAsia" w:ascii="宋体" w:hAnsi="宋体" w:eastAsia="宋体" w:cs="宋体"/>
                <w:kern w:val="0"/>
                <w:sz w:val="24"/>
                <w:szCs w:val="24"/>
                <w:lang w:eastAsia="zh"/>
              </w:rPr>
              <w:t>网络金融业务辅助服务</w:t>
            </w:r>
          </w:p>
        </w:tc>
        <w:tc>
          <w:tcPr>
            <w:tcW w:w="1435" w:type="pct"/>
            <w:tcBorders>
              <w:top w:val="nil"/>
              <w:left w:val="nil"/>
              <w:bottom w:val="single" w:color="000000" w:sz="8" w:space="0"/>
              <w:right w:val="single" w:color="000000" w:sz="8" w:space="0"/>
            </w:tcBorders>
            <w:shd w:val="clear" w:color="auto" w:fill="auto"/>
            <w:vAlign w:val="center"/>
          </w:tcPr>
          <w:p>
            <w:pPr>
              <w:widowControl/>
              <w:spacing w:before="109" w:beforeLines="35" w:after="109" w:afterLines="35"/>
              <w:jc w:val="left"/>
              <w:rPr>
                <w:rFonts w:ascii="宋体" w:hAnsi="宋体" w:eastAsia="宋体" w:cs="宋体"/>
                <w:kern w:val="0"/>
                <w:sz w:val="24"/>
                <w:szCs w:val="24"/>
                <w:lang w:eastAsia="zh"/>
              </w:rPr>
            </w:pPr>
            <w:r>
              <w:rPr>
                <w:rFonts w:hint="eastAsia" w:ascii="宋体" w:hAnsi="宋体" w:eastAsia="宋体" w:cs="宋体"/>
                <w:kern w:val="0"/>
                <w:sz w:val="24"/>
                <w:szCs w:val="24"/>
                <w:lang w:eastAsia="zh"/>
              </w:rPr>
              <w:t>高价值用户辅助</w:t>
            </w:r>
          </w:p>
        </w:tc>
        <w:tc>
          <w:tcPr>
            <w:tcW w:w="1413" w:type="pct"/>
            <w:tcBorders>
              <w:top w:val="nil"/>
              <w:left w:val="nil"/>
              <w:bottom w:val="single" w:color="000000" w:sz="8" w:space="0"/>
              <w:right w:val="single" w:color="000000" w:sz="8" w:space="0"/>
            </w:tcBorders>
            <w:shd w:val="clear" w:color="auto" w:fill="auto"/>
            <w:vAlign w:val="center"/>
          </w:tcPr>
          <w:p>
            <w:pPr>
              <w:widowControl/>
              <w:spacing w:before="109" w:beforeLines="35" w:after="109" w:afterLines="35"/>
              <w:jc w:val="center"/>
              <w:rPr>
                <w:rFonts w:ascii="宋体" w:hAnsi="宋体" w:eastAsia="宋体" w:cs="宋体"/>
                <w:kern w:val="0"/>
                <w:sz w:val="24"/>
                <w:szCs w:val="24"/>
                <w:lang w:eastAsia="zh"/>
              </w:rPr>
            </w:pPr>
            <w:r>
              <w:rPr>
                <w:rFonts w:hint="eastAsia" w:ascii="宋体" w:hAnsi="宋体" w:eastAsia="宋体" w:cs="宋体"/>
                <w:kern w:val="0"/>
                <w:sz w:val="24"/>
                <w:szCs w:val="24"/>
                <w:lang w:eastAsia="zh"/>
              </w:rPr>
              <w:t>7.7万户</w:t>
            </w:r>
          </w:p>
        </w:tc>
      </w:tr>
      <w:tr>
        <w:tblPrEx>
          <w:tblCellMar>
            <w:top w:w="0" w:type="dxa"/>
            <w:left w:w="108" w:type="dxa"/>
            <w:bottom w:w="0" w:type="dxa"/>
            <w:right w:w="108" w:type="dxa"/>
          </w:tblCellMar>
        </w:tblPrEx>
        <w:tc>
          <w:tcPr>
            <w:tcW w:w="638" w:type="pct"/>
            <w:tcBorders>
              <w:top w:val="single" w:color="auto" w:sz="4" w:space="0"/>
              <w:left w:val="single" w:color="000000" w:sz="8" w:space="0"/>
              <w:bottom w:val="single" w:color="000000" w:sz="8" w:space="0"/>
              <w:right w:val="single" w:color="000000" w:sz="8" w:space="0"/>
            </w:tcBorders>
            <w:vAlign w:val="center"/>
          </w:tcPr>
          <w:p>
            <w:pPr>
              <w:spacing w:before="109" w:beforeLines="35" w:after="109" w:afterLines="35"/>
              <w:jc w:val="center"/>
              <w:rPr>
                <w:rFonts w:ascii="宋体" w:hAnsi="宋体" w:eastAsia="宋体" w:cs="宋体"/>
                <w:kern w:val="0"/>
                <w:sz w:val="24"/>
                <w:szCs w:val="24"/>
              </w:rPr>
            </w:pPr>
            <w:r>
              <w:rPr>
                <w:rFonts w:hint="eastAsia" w:ascii="宋体" w:hAnsi="宋体" w:eastAsia="宋体" w:cs="宋体"/>
                <w:kern w:val="0"/>
                <w:sz w:val="24"/>
                <w:szCs w:val="24"/>
              </w:rPr>
              <w:t>标段二</w:t>
            </w:r>
          </w:p>
        </w:tc>
        <w:tc>
          <w:tcPr>
            <w:tcW w:w="2947" w:type="pct"/>
            <w:gridSpan w:val="2"/>
            <w:tcBorders>
              <w:top w:val="nil"/>
              <w:left w:val="nil"/>
              <w:bottom w:val="single" w:color="000000" w:sz="8" w:space="0"/>
              <w:right w:val="single" w:color="000000" w:sz="8" w:space="0"/>
            </w:tcBorders>
            <w:shd w:val="clear" w:color="auto" w:fill="auto"/>
            <w:vAlign w:val="center"/>
          </w:tcPr>
          <w:p>
            <w:pPr>
              <w:widowControl/>
              <w:spacing w:before="109" w:beforeLines="35" w:after="109" w:afterLines="35"/>
              <w:jc w:val="left"/>
              <w:rPr>
                <w:rFonts w:ascii="宋体" w:hAnsi="宋体" w:eastAsia="宋体" w:cs="宋体"/>
                <w:kern w:val="0"/>
                <w:sz w:val="24"/>
                <w:szCs w:val="24"/>
              </w:rPr>
            </w:pPr>
            <w:r>
              <w:rPr>
                <w:rFonts w:hint="eastAsia" w:ascii="宋体" w:hAnsi="宋体" w:eastAsia="宋体" w:cs="宋体"/>
                <w:kern w:val="0"/>
                <w:sz w:val="24"/>
                <w:szCs w:val="24"/>
              </w:rPr>
              <w:t>分期业务辅助服务(调查辅助)</w:t>
            </w:r>
          </w:p>
        </w:tc>
        <w:tc>
          <w:tcPr>
            <w:tcW w:w="1413" w:type="pct"/>
            <w:tcBorders>
              <w:top w:val="nil"/>
              <w:left w:val="nil"/>
              <w:bottom w:val="single" w:color="000000" w:sz="8" w:space="0"/>
              <w:right w:val="single" w:color="000000" w:sz="8" w:space="0"/>
            </w:tcBorders>
            <w:shd w:val="clear" w:color="auto" w:fill="auto"/>
            <w:vAlign w:val="center"/>
          </w:tcPr>
          <w:p>
            <w:pPr>
              <w:widowControl/>
              <w:spacing w:before="109" w:beforeLines="35" w:after="109" w:afterLines="35"/>
              <w:jc w:val="center"/>
              <w:rPr>
                <w:rFonts w:ascii="宋体" w:hAnsi="宋体" w:eastAsia="宋体" w:cs="宋体"/>
                <w:kern w:val="0"/>
                <w:sz w:val="24"/>
                <w:szCs w:val="24"/>
              </w:rPr>
            </w:pPr>
            <w:r>
              <w:rPr>
                <w:rFonts w:hint="eastAsia" w:ascii="宋体" w:hAnsi="宋体" w:eastAsia="宋体" w:cs="宋体"/>
                <w:kern w:val="0"/>
                <w:sz w:val="24"/>
                <w:szCs w:val="24"/>
              </w:rPr>
              <w:t>0.48万件</w:t>
            </w:r>
          </w:p>
        </w:tc>
      </w:tr>
    </w:tbl>
    <w:p>
      <w:pPr>
        <w:spacing w:line="580" w:lineRule="exact"/>
        <w:rPr>
          <w:rFonts w:ascii="彩虹粗仿宋" w:hAnsi="彩虹粗仿宋" w:eastAsia="彩虹粗仿宋" w:cs="彩虹粗仿宋"/>
          <w:sz w:val="28"/>
          <w:szCs w:val="28"/>
        </w:rPr>
      </w:pPr>
    </w:p>
    <w:p>
      <w:pPr>
        <w:spacing w:line="360" w:lineRule="auto"/>
        <w:rPr>
          <w:rFonts w:ascii="彩虹粗仿宋" w:hAnsi="彩虹粗仿宋" w:eastAsia="彩虹粗仿宋" w:cs="彩虹粗仿宋"/>
          <w:b/>
          <w:sz w:val="28"/>
          <w:szCs w:val="28"/>
        </w:rPr>
      </w:pPr>
      <w:r>
        <w:rPr>
          <w:rFonts w:hint="eastAsia" w:ascii="彩虹粗仿宋" w:hAnsi="彩虹粗仿宋" w:eastAsia="彩虹粗仿宋" w:cs="彩虹粗仿宋"/>
          <w:b/>
          <w:sz w:val="28"/>
          <w:szCs w:val="28"/>
        </w:rPr>
        <w:t>十、其他要求</w:t>
      </w:r>
    </w:p>
    <w:p>
      <w:pPr>
        <w:spacing w:line="360" w:lineRule="auto"/>
        <w:ind w:firstLine="560" w:firstLineChars="200"/>
        <w:rPr>
          <w:rFonts w:ascii="彩虹粗仿宋" w:hAnsi="彩虹粗仿宋" w:eastAsia="彩虹粗仿宋" w:cs="彩虹粗仿宋"/>
          <w:sz w:val="28"/>
          <w:szCs w:val="28"/>
        </w:rPr>
      </w:pPr>
      <w:r>
        <w:rPr>
          <w:rFonts w:hint="eastAsia" w:ascii="彩虹粗仿宋" w:hAnsi="彩虹粗仿宋" w:eastAsia="彩虹粗仿宋" w:cs="彩虹粗仿宋"/>
          <w:sz w:val="28"/>
          <w:szCs w:val="28"/>
        </w:rPr>
        <w:t>1.投标人入选要求：</w:t>
      </w:r>
    </w:p>
    <w:p>
      <w:pPr>
        <w:spacing w:line="360" w:lineRule="auto"/>
        <w:ind w:firstLine="560" w:firstLineChars="200"/>
        <w:rPr>
          <w:rFonts w:ascii="彩虹粗仿宋" w:hAnsi="彩虹粗仿宋" w:eastAsia="彩虹粗仿宋" w:cs="彩虹粗仿宋"/>
          <w:sz w:val="28"/>
          <w:szCs w:val="28"/>
        </w:rPr>
      </w:pPr>
      <w:r>
        <w:rPr>
          <w:rFonts w:hint="eastAsia" w:ascii="彩虹粗仿宋" w:hAnsi="彩虹粗仿宋" w:eastAsia="彩虹粗仿宋" w:cs="彩虹粗仿宋"/>
          <w:sz w:val="28"/>
          <w:szCs w:val="28"/>
        </w:rPr>
        <w:t>1.1 标段一：中标人数为2家</w:t>
      </w:r>
    </w:p>
    <w:p>
      <w:pPr>
        <w:spacing w:line="360" w:lineRule="auto"/>
        <w:ind w:firstLine="560" w:firstLineChars="200"/>
        <w:rPr>
          <w:rFonts w:ascii="彩虹粗仿宋" w:hAnsi="彩虹粗仿宋" w:eastAsia="彩虹粗仿宋" w:cs="彩虹粗仿宋"/>
          <w:kern w:val="0"/>
          <w:sz w:val="28"/>
          <w:szCs w:val="28"/>
        </w:rPr>
      </w:pPr>
      <w:r>
        <w:rPr>
          <w:rFonts w:hint="eastAsia" w:ascii="彩虹粗仿宋" w:hAnsi="彩虹粗仿宋" w:eastAsia="彩虹粗仿宋" w:cs="彩虹粗仿宋"/>
          <w:sz w:val="28"/>
          <w:szCs w:val="28"/>
        </w:rPr>
        <w:t>1.1.1 第一中标人承接</w:t>
      </w:r>
      <w:r>
        <w:rPr>
          <w:rFonts w:hint="eastAsia" w:ascii="彩虹粗仿宋" w:hAnsi="彩虹粗仿宋" w:eastAsia="彩虹粗仿宋" w:cs="彩虹粗仿宋"/>
          <w:sz w:val="28"/>
          <w:szCs w:val="28"/>
          <w:lang w:eastAsia="zh"/>
        </w:rPr>
        <w:t>网络金融业务辅助服务</w:t>
      </w:r>
      <w:r>
        <w:rPr>
          <w:rFonts w:hint="eastAsia" w:ascii="彩虹粗仿宋" w:hAnsi="彩虹粗仿宋" w:eastAsia="彩虹粗仿宋" w:cs="彩虹粗仿宋"/>
          <w:sz w:val="28"/>
          <w:szCs w:val="28"/>
        </w:rPr>
        <w:t>及</w:t>
      </w:r>
      <w:r>
        <w:rPr>
          <w:rFonts w:hint="eastAsia" w:ascii="彩虹粗仿宋" w:hAnsi="彩虹粗仿宋" w:eastAsia="彩虹粗仿宋" w:cs="彩虹粗仿宋"/>
          <w:kern w:val="0"/>
          <w:sz w:val="28"/>
          <w:szCs w:val="28"/>
        </w:rPr>
        <w:t>分期业务辅助服务(活动宣传及咨询、辅助维护合作单位、辅助产品推介)业务。</w:t>
      </w:r>
    </w:p>
    <w:p>
      <w:pPr>
        <w:spacing w:line="360" w:lineRule="auto"/>
        <w:ind w:firstLine="560" w:firstLineChars="200"/>
        <w:rPr>
          <w:rFonts w:ascii="彩虹粗仿宋" w:hAnsi="彩虹粗仿宋" w:eastAsia="彩虹粗仿宋" w:cs="彩虹粗仿宋"/>
          <w:kern w:val="0"/>
          <w:sz w:val="28"/>
          <w:szCs w:val="28"/>
        </w:rPr>
      </w:pPr>
      <w:r>
        <w:rPr>
          <w:rFonts w:hint="eastAsia" w:ascii="彩虹粗仿宋" w:hAnsi="彩虹粗仿宋" w:eastAsia="彩虹粗仿宋" w:cs="彩虹粗仿宋"/>
          <w:kern w:val="0"/>
          <w:sz w:val="28"/>
          <w:szCs w:val="28"/>
        </w:rPr>
        <w:t>1.1.2 第二中标人承接分期业务辅助服务(活动宣传及咨询、辅助维护合作单位、辅助产品推介)业务。</w:t>
      </w:r>
    </w:p>
    <w:p>
      <w:pPr>
        <w:spacing w:line="360" w:lineRule="auto"/>
        <w:ind w:firstLine="560" w:firstLineChars="200"/>
        <w:rPr>
          <w:rFonts w:ascii="彩虹粗仿宋" w:hAnsi="彩虹粗仿宋" w:eastAsia="彩虹粗仿宋" w:cs="彩虹粗仿宋"/>
          <w:sz w:val="28"/>
          <w:szCs w:val="28"/>
        </w:rPr>
      </w:pPr>
      <w:r>
        <w:rPr>
          <w:rFonts w:hint="eastAsia" w:ascii="彩虹粗仿宋" w:hAnsi="彩虹粗仿宋" w:eastAsia="彩虹粗仿宋" w:cs="彩虹粗仿宋"/>
          <w:sz w:val="28"/>
          <w:szCs w:val="28"/>
        </w:rPr>
        <w:t>1.2 标段二：中标人数为1家</w:t>
      </w:r>
    </w:p>
    <w:p>
      <w:pPr>
        <w:spacing w:line="360" w:lineRule="auto"/>
        <w:ind w:firstLine="560" w:firstLineChars="200"/>
        <w:rPr>
          <w:rFonts w:ascii="彩虹粗仿宋" w:hAnsi="彩虹粗仿宋" w:eastAsia="彩虹粗仿宋" w:cs="彩虹粗仿宋"/>
          <w:sz w:val="28"/>
          <w:szCs w:val="28"/>
        </w:rPr>
      </w:pPr>
      <w:r>
        <w:rPr>
          <w:rFonts w:hint="eastAsia" w:ascii="彩虹粗仿宋" w:hAnsi="彩虹粗仿宋" w:eastAsia="彩虹粗仿宋" w:cs="彩虹粗仿宋"/>
          <w:sz w:val="28"/>
          <w:szCs w:val="28"/>
        </w:rPr>
        <w:t>1.2.1 中标人承接分期业务辅助服务(调查辅助)业务。</w:t>
      </w:r>
    </w:p>
    <w:p>
      <w:pPr>
        <w:spacing w:line="360" w:lineRule="auto"/>
        <w:ind w:firstLine="560" w:firstLineChars="200"/>
        <w:rPr>
          <w:rFonts w:ascii="彩虹粗仿宋" w:hAnsi="彩虹粗仿宋" w:eastAsia="彩虹粗仿宋" w:cs="彩虹粗仿宋"/>
          <w:sz w:val="28"/>
          <w:szCs w:val="28"/>
        </w:rPr>
      </w:pPr>
      <w:r>
        <w:rPr>
          <w:rFonts w:hint="eastAsia" w:ascii="彩虹粗仿宋" w:hAnsi="彩虹粗仿宋" w:eastAsia="彩虹粗仿宋" w:cs="彩虹粗仿宋"/>
          <w:sz w:val="28"/>
          <w:szCs w:val="28"/>
        </w:rPr>
        <w:t>1.3 为落实装修分期调查辅助作业人员与辅助产品推介相隔离要求，标段一、标段二供应商不得为同一中标人。</w:t>
      </w:r>
      <w:r>
        <w:rPr>
          <w:rFonts w:hint="eastAsia" w:ascii="彩虹粗仿宋" w:hAnsi="彩虹粗仿宋" w:eastAsia="彩虹粗仿宋" w:cs="彩虹粗仿宋"/>
          <w:b/>
          <w:bCs/>
          <w:sz w:val="28"/>
          <w:szCs w:val="28"/>
        </w:rPr>
        <w:t>投标人若同时参加两个标段，且两个标段均入选，则优先入选为标段一中标人，标段二根据排名由后序中标候选人承接。</w:t>
      </w:r>
    </w:p>
    <w:p>
      <w:pPr>
        <w:ind w:firstLine="560" w:firstLineChars="200"/>
        <w:rPr>
          <w:rFonts w:ascii="彩虹粗仿宋" w:hAnsi="彩虹粗仿宋" w:eastAsia="彩虹粗仿宋" w:cs="彩虹粗仿宋"/>
          <w:sz w:val="28"/>
          <w:szCs w:val="28"/>
        </w:rPr>
      </w:pPr>
      <w:r>
        <w:rPr>
          <w:rFonts w:hint="eastAsia" w:ascii="彩虹粗仿宋" w:hAnsi="彩虹粗仿宋" w:eastAsia="彩虹粗仿宋" w:cs="彩虹粗仿宋"/>
          <w:sz w:val="28"/>
          <w:szCs w:val="28"/>
        </w:rPr>
        <w:t xml:space="preserve">1.4 </w:t>
      </w:r>
      <w:r>
        <w:rPr>
          <w:rFonts w:hint="eastAsia" w:ascii="彩虹粗仿宋" w:hAnsi="彩虹粗仿宋" w:eastAsia="彩虹粗仿宋" w:cs="彩虹粗仿宋"/>
          <w:b/>
          <w:sz w:val="28"/>
          <w:szCs w:val="28"/>
        </w:rPr>
        <w:t>分期业务辅助服务(活动宣传及咨询、辅助维护合作单位、辅助产品推介)</w:t>
      </w:r>
      <w:r>
        <w:rPr>
          <w:rFonts w:hint="eastAsia" w:ascii="彩虹粗仿宋" w:hAnsi="彩虹粗仿宋" w:eastAsia="彩虹粗仿宋" w:cs="彩虹粗仿宋"/>
          <w:kern w:val="0"/>
          <w:sz w:val="28"/>
          <w:szCs w:val="28"/>
        </w:rPr>
        <w:t>外包项目，评审排名第一名承接片区A,排名第二名承接片区B；如中标人中为上一期供应商，为维持服务稳定，由该中标人承接原服务片区，另一中标人承接另一片区，后续根据业务考核规则进行调整。（片区分配情况表详见附件3 ）。</w:t>
      </w:r>
    </w:p>
    <w:p>
      <w:pPr>
        <w:ind w:firstLine="560" w:firstLineChars="200"/>
        <w:rPr>
          <w:rFonts w:ascii="彩虹粗仿宋" w:hAnsi="彩虹粗仿宋" w:eastAsia="彩虹粗仿宋" w:cs="彩虹粗仿宋"/>
          <w:sz w:val="28"/>
          <w:szCs w:val="28"/>
        </w:rPr>
      </w:pPr>
      <w:r>
        <w:rPr>
          <w:rFonts w:hint="eastAsia" w:ascii="彩虹粗仿宋" w:hAnsi="彩虹粗仿宋" w:eastAsia="彩虹粗仿宋" w:cs="彩虹粗仿宋"/>
          <w:sz w:val="28"/>
          <w:szCs w:val="28"/>
        </w:rPr>
        <w:t>2.中标人有义务配合招标人对外包业务的抽查、日常业务检查及审计人员的审计工作，配合招标人接受银行业监督管理机构的检查。</w:t>
      </w:r>
    </w:p>
    <w:p>
      <w:pPr>
        <w:ind w:firstLine="560" w:firstLineChars="200"/>
        <w:rPr>
          <w:rFonts w:ascii="彩虹粗仿宋" w:hAnsi="彩虹粗仿宋" w:eastAsia="彩虹粗仿宋" w:cs="彩虹粗仿宋"/>
          <w:sz w:val="28"/>
          <w:szCs w:val="28"/>
        </w:rPr>
      </w:pPr>
      <w:r>
        <w:rPr>
          <w:rFonts w:hint="eastAsia" w:ascii="彩虹粗仿宋" w:hAnsi="彩虹粗仿宋" w:eastAsia="彩虹粗仿宋" w:cs="彩虹粗仿宋"/>
          <w:sz w:val="28"/>
          <w:szCs w:val="28"/>
        </w:rPr>
        <w:t>3.中标人不得以建设银行或建设银行员工名义开展营销宣传、用工管理或开展生产经营活动，承诺遵守银行业金融机构认为应当承诺的其他事项，承诺定期通报外包活动开展情况、及时通报外包活动的突发性事件、保障客户信息安全。当客户信息不安全或客户权利受到影响时，银行业金融机构有权随时终止外包合同。</w:t>
      </w:r>
    </w:p>
    <w:p>
      <w:pPr>
        <w:spacing w:line="360" w:lineRule="auto"/>
        <w:ind w:firstLine="560" w:firstLineChars="200"/>
        <w:rPr>
          <w:rFonts w:ascii="彩虹粗仿宋" w:hAnsi="彩虹粗仿宋" w:eastAsia="彩虹粗仿宋" w:cs="彩虹粗仿宋"/>
          <w:sz w:val="28"/>
          <w:szCs w:val="28"/>
          <w:lang w:eastAsia="zh"/>
        </w:rPr>
      </w:pPr>
      <w:r>
        <w:rPr>
          <w:rFonts w:hint="eastAsia" w:ascii="彩虹粗仿宋" w:hAnsi="彩虹粗仿宋" w:eastAsia="彩虹粗仿宋" w:cs="彩虹粗仿宋"/>
          <w:sz w:val="28"/>
          <w:szCs w:val="28"/>
        </w:rPr>
        <w:t>4.未经招标人同意，厦门建行所有信用卡业务外包合作服务</w:t>
      </w:r>
      <w:r>
        <w:rPr>
          <w:rFonts w:hint="eastAsia" w:ascii="彩虹粗仿宋" w:hAnsi="彩虹粗仿宋" w:eastAsia="彩虹粗仿宋" w:cs="彩虹粗仿宋"/>
          <w:sz w:val="28"/>
          <w:szCs w:val="28"/>
          <w:lang w:eastAsia="zh"/>
        </w:rPr>
        <w:t>项目</w:t>
      </w:r>
      <w:r>
        <w:rPr>
          <w:rFonts w:hint="eastAsia" w:ascii="彩虹粗仿宋" w:hAnsi="彩虹粗仿宋" w:eastAsia="彩虹粗仿宋" w:cs="彩虹粗仿宋"/>
          <w:sz w:val="28"/>
          <w:szCs w:val="28"/>
        </w:rPr>
        <w:t>不得招收从厦门建行信用卡业务外包合作服务供应商辞职未满3个月的员工。</w:t>
      </w:r>
    </w:p>
    <w:p>
      <w:pPr>
        <w:spacing w:line="360" w:lineRule="auto"/>
        <w:ind w:firstLine="560" w:firstLineChars="200"/>
        <w:rPr>
          <w:rFonts w:ascii="彩虹粗仿宋" w:hAnsi="彩虹粗仿宋" w:eastAsia="彩虹粗仿宋" w:cs="彩虹粗仿宋"/>
          <w:sz w:val="28"/>
          <w:szCs w:val="28"/>
        </w:rPr>
      </w:pPr>
      <w:r>
        <w:rPr>
          <w:rFonts w:hint="eastAsia" w:ascii="彩虹粗仿宋" w:hAnsi="彩虹粗仿宋" w:eastAsia="彩虹粗仿宋" w:cs="彩虹粗仿宋"/>
          <w:sz w:val="28"/>
          <w:szCs w:val="28"/>
        </w:rPr>
        <w:t>5.投标人承诺承接分期辅助服务(活动宣传及咨询、辅助维护合作单位、辅助产品推介)后不得为厦门市行政区域内其他银行业金融机构提供同类服务（包括在楼盘、商户、展会及相关场景</w:t>
      </w:r>
      <w:r>
        <w:rPr>
          <w:rFonts w:hint="eastAsia" w:ascii="彩虹粗仿宋" w:hAnsi="彩虹粗仿宋" w:eastAsia="彩虹粗仿宋" w:cs="彩虹粗仿宋"/>
          <w:sz w:val="28"/>
          <w:szCs w:val="28"/>
          <w:lang w:eastAsia="zh"/>
        </w:rPr>
        <w:t>开展</w:t>
      </w:r>
      <w:r>
        <w:rPr>
          <w:rFonts w:hint="eastAsia" w:ascii="彩虹粗仿宋" w:hAnsi="彩虹粗仿宋" w:eastAsia="彩虹粗仿宋" w:cs="彩虹粗仿宋"/>
          <w:sz w:val="28"/>
          <w:szCs w:val="28"/>
        </w:rPr>
        <w:t>购车、装修、分期通、教育等信用卡专项分期产品</w:t>
      </w:r>
      <w:r>
        <w:rPr>
          <w:rFonts w:hint="eastAsia" w:ascii="彩虹粗仿宋" w:hAnsi="彩虹粗仿宋" w:eastAsia="彩虹粗仿宋" w:cs="彩虹粗仿宋"/>
          <w:color w:val="FF0000"/>
          <w:sz w:val="28"/>
          <w:szCs w:val="28"/>
          <w:highlight w:val="yellow"/>
          <w:lang w:eastAsia="zh-CN"/>
        </w:rPr>
        <w:t>、</w:t>
      </w:r>
      <w:r>
        <w:rPr>
          <w:rFonts w:hint="eastAsia" w:ascii="彩虹粗仿宋" w:hAnsi="彩虹粗仿宋" w:eastAsia="彩虹粗仿宋" w:cs="彩虹粗仿宋"/>
          <w:color w:val="FF0000"/>
          <w:sz w:val="28"/>
          <w:szCs w:val="28"/>
          <w:highlight w:val="yellow"/>
        </w:rPr>
        <w:t>消费贷款</w:t>
      </w:r>
      <w:r>
        <w:rPr>
          <w:rFonts w:hint="eastAsia" w:ascii="彩虹粗仿宋" w:hAnsi="彩虹粗仿宋" w:eastAsia="彩虹粗仿宋" w:cs="彩虹粗仿宋"/>
          <w:color w:val="FF0000"/>
          <w:sz w:val="28"/>
          <w:szCs w:val="28"/>
          <w:highlight w:val="yellow"/>
          <w:lang w:eastAsia="zh-CN"/>
        </w:rPr>
        <w:t>产品（汽车、家装、教育、旅游等场景化小额借款、循环类消费授信等个人无抵押信贷产品）及抵押类贷款产品</w:t>
      </w:r>
      <w:r>
        <w:rPr>
          <w:rFonts w:hint="eastAsia" w:ascii="彩虹粗仿宋" w:hAnsi="彩虹粗仿宋" w:eastAsia="彩虹粗仿宋" w:cs="彩虹粗仿宋"/>
          <w:color w:val="FF0000"/>
          <w:sz w:val="28"/>
          <w:szCs w:val="28"/>
          <w:highlight w:val="yellow"/>
        </w:rPr>
        <w:t>的</w:t>
      </w:r>
      <w:r>
        <w:rPr>
          <w:rFonts w:hint="eastAsia" w:ascii="彩虹粗仿宋" w:hAnsi="彩虹粗仿宋" w:eastAsia="彩虹粗仿宋" w:cs="彩虹粗仿宋"/>
          <w:color w:val="FF0000"/>
          <w:sz w:val="28"/>
          <w:szCs w:val="28"/>
        </w:rPr>
        <w:t>活</w:t>
      </w:r>
      <w:r>
        <w:rPr>
          <w:rFonts w:hint="eastAsia" w:ascii="彩虹粗仿宋" w:hAnsi="彩虹粗仿宋" w:eastAsia="彩虹粗仿宋" w:cs="彩虹粗仿宋"/>
          <w:sz w:val="28"/>
          <w:szCs w:val="28"/>
        </w:rPr>
        <w:t>动宣传及咨询、辅助维护合作单位、辅助产品推介、调查辅助、等服务）</w:t>
      </w:r>
      <w:r>
        <w:rPr>
          <w:rFonts w:hint="eastAsia" w:ascii="彩虹粗仿宋" w:hAnsi="彩虹粗仿宋" w:eastAsia="彩虹粗仿宋" w:cs="彩虹粗仿宋"/>
          <w:sz w:val="28"/>
          <w:szCs w:val="28"/>
          <w:lang w:eastAsia="zh"/>
        </w:rPr>
        <w:t>。</w:t>
      </w:r>
    </w:p>
    <w:sectPr>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粗仿宋">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revisionView w:markup="0"/>
  <w:documentProtection w:enforcement="0"/>
  <w:defaultTabStop w:val="420"/>
  <w:displayHorizontalDrawingGridEvery w:val="0"/>
  <w:displayVerticalDrawingGridEvery w:val="2"/>
  <w:characterSpacingControl w:val="doNotCompress"/>
  <w:compat>
    <w:balanceSingleByteDoubleByteWidth/>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CB9"/>
    <w:rsid w:val="000376C5"/>
    <w:rsid w:val="00060A42"/>
    <w:rsid w:val="00075ABD"/>
    <w:rsid w:val="00087044"/>
    <w:rsid w:val="00096A21"/>
    <w:rsid w:val="000D0D8C"/>
    <w:rsid w:val="000E1893"/>
    <w:rsid w:val="00102D90"/>
    <w:rsid w:val="001317FE"/>
    <w:rsid w:val="001365B7"/>
    <w:rsid w:val="00161E62"/>
    <w:rsid w:val="00174C46"/>
    <w:rsid w:val="001752C4"/>
    <w:rsid w:val="001C3D63"/>
    <w:rsid w:val="001C666E"/>
    <w:rsid w:val="0022110F"/>
    <w:rsid w:val="00230107"/>
    <w:rsid w:val="00245243"/>
    <w:rsid w:val="00276452"/>
    <w:rsid w:val="002902C2"/>
    <w:rsid w:val="00292E98"/>
    <w:rsid w:val="003378AA"/>
    <w:rsid w:val="00340E94"/>
    <w:rsid w:val="00343216"/>
    <w:rsid w:val="003943CA"/>
    <w:rsid w:val="003A0A1D"/>
    <w:rsid w:val="003A6BF1"/>
    <w:rsid w:val="003C6478"/>
    <w:rsid w:val="0043030C"/>
    <w:rsid w:val="004359A8"/>
    <w:rsid w:val="00483676"/>
    <w:rsid w:val="004A141F"/>
    <w:rsid w:val="004E5CE5"/>
    <w:rsid w:val="00504B63"/>
    <w:rsid w:val="005155BE"/>
    <w:rsid w:val="00515FFC"/>
    <w:rsid w:val="005261E7"/>
    <w:rsid w:val="00530E7F"/>
    <w:rsid w:val="00562CE0"/>
    <w:rsid w:val="005723DF"/>
    <w:rsid w:val="005A11DD"/>
    <w:rsid w:val="005F77AE"/>
    <w:rsid w:val="006037B0"/>
    <w:rsid w:val="00622F41"/>
    <w:rsid w:val="00655CFA"/>
    <w:rsid w:val="006630E5"/>
    <w:rsid w:val="006B5166"/>
    <w:rsid w:val="006E0315"/>
    <w:rsid w:val="006F6C1D"/>
    <w:rsid w:val="0070232D"/>
    <w:rsid w:val="00702FD7"/>
    <w:rsid w:val="00707A20"/>
    <w:rsid w:val="00762DC9"/>
    <w:rsid w:val="007D04CD"/>
    <w:rsid w:val="007D0F65"/>
    <w:rsid w:val="007D64C5"/>
    <w:rsid w:val="007E25A6"/>
    <w:rsid w:val="007E71D0"/>
    <w:rsid w:val="007E723C"/>
    <w:rsid w:val="00816D99"/>
    <w:rsid w:val="00826D43"/>
    <w:rsid w:val="00832AF7"/>
    <w:rsid w:val="0083434A"/>
    <w:rsid w:val="008B0DDA"/>
    <w:rsid w:val="008B1CE4"/>
    <w:rsid w:val="008E3C30"/>
    <w:rsid w:val="009304A2"/>
    <w:rsid w:val="009360BA"/>
    <w:rsid w:val="009F62E8"/>
    <w:rsid w:val="00A166B0"/>
    <w:rsid w:val="00A26C4C"/>
    <w:rsid w:val="00A73313"/>
    <w:rsid w:val="00A82E93"/>
    <w:rsid w:val="00A852A8"/>
    <w:rsid w:val="00AB1544"/>
    <w:rsid w:val="00AD18F4"/>
    <w:rsid w:val="00AE34F9"/>
    <w:rsid w:val="00AF3955"/>
    <w:rsid w:val="00AF4336"/>
    <w:rsid w:val="00B1471D"/>
    <w:rsid w:val="00B3298E"/>
    <w:rsid w:val="00B76C93"/>
    <w:rsid w:val="00B928EB"/>
    <w:rsid w:val="00BC45A8"/>
    <w:rsid w:val="00BE1D7A"/>
    <w:rsid w:val="00BE2C66"/>
    <w:rsid w:val="00BE6859"/>
    <w:rsid w:val="00C03BDD"/>
    <w:rsid w:val="00C127D4"/>
    <w:rsid w:val="00C20677"/>
    <w:rsid w:val="00C241FA"/>
    <w:rsid w:val="00C252FF"/>
    <w:rsid w:val="00C3094B"/>
    <w:rsid w:val="00C44998"/>
    <w:rsid w:val="00C572FF"/>
    <w:rsid w:val="00C751EC"/>
    <w:rsid w:val="00C8677B"/>
    <w:rsid w:val="00D07CDF"/>
    <w:rsid w:val="00DC06EB"/>
    <w:rsid w:val="00DD1E88"/>
    <w:rsid w:val="00DE3965"/>
    <w:rsid w:val="00DF0F2B"/>
    <w:rsid w:val="00DF16CC"/>
    <w:rsid w:val="00E03F27"/>
    <w:rsid w:val="00E43464"/>
    <w:rsid w:val="00E73CB9"/>
    <w:rsid w:val="00E8106A"/>
    <w:rsid w:val="00ED6074"/>
    <w:rsid w:val="00EF4254"/>
    <w:rsid w:val="00F16867"/>
    <w:rsid w:val="00F54338"/>
    <w:rsid w:val="00F54EBA"/>
    <w:rsid w:val="00F80F2C"/>
    <w:rsid w:val="00FB3C3B"/>
    <w:rsid w:val="00FF6ED2"/>
    <w:rsid w:val="03D4475B"/>
    <w:rsid w:val="05092093"/>
    <w:rsid w:val="08493FD7"/>
    <w:rsid w:val="0A66F016"/>
    <w:rsid w:val="0EFF8479"/>
    <w:rsid w:val="0F2B5E2D"/>
    <w:rsid w:val="11CD114D"/>
    <w:rsid w:val="19F51F45"/>
    <w:rsid w:val="1F3B1EAA"/>
    <w:rsid w:val="23DA021A"/>
    <w:rsid w:val="2429650D"/>
    <w:rsid w:val="29E23ACE"/>
    <w:rsid w:val="2E8A782C"/>
    <w:rsid w:val="2FFEA3AD"/>
    <w:rsid w:val="31186A72"/>
    <w:rsid w:val="315F96D3"/>
    <w:rsid w:val="32A123C5"/>
    <w:rsid w:val="38EF0EF7"/>
    <w:rsid w:val="3B5D72D7"/>
    <w:rsid w:val="3E58D2C5"/>
    <w:rsid w:val="3E7EA82E"/>
    <w:rsid w:val="3ED521B1"/>
    <w:rsid w:val="3F7F1024"/>
    <w:rsid w:val="3FEFDB4D"/>
    <w:rsid w:val="3FFFBE60"/>
    <w:rsid w:val="4197D666"/>
    <w:rsid w:val="42594B36"/>
    <w:rsid w:val="42B14DFA"/>
    <w:rsid w:val="42FA3E38"/>
    <w:rsid w:val="4499005A"/>
    <w:rsid w:val="4F7DA34B"/>
    <w:rsid w:val="537FBA79"/>
    <w:rsid w:val="55F25D5F"/>
    <w:rsid w:val="56FDDBFF"/>
    <w:rsid w:val="57F7328F"/>
    <w:rsid w:val="5957720F"/>
    <w:rsid w:val="5AFE1651"/>
    <w:rsid w:val="5BEE6BB3"/>
    <w:rsid w:val="5D8A4067"/>
    <w:rsid w:val="5DFB2339"/>
    <w:rsid w:val="5EFF29D9"/>
    <w:rsid w:val="5F7D01C4"/>
    <w:rsid w:val="5FAB84F0"/>
    <w:rsid w:val="5FCFF4D3"/>
    <w:rsid w:val="5FDB1204"/>
    <w:rsid w:val="65E76E7B"/>
    <w:rsid w:val="66843955"/>
    <w:rsid w:val="672F8A86"/>
    <w:rsid w:val="67F5A243"/>
    <w:rsid w:val="6A25687E"/>
    <w:rsid w:val="6ADFDA69"/>
    <w:rsid w:val="6AF30097"/>
    <w:rsid w:val="6BDD6174"/>
    <w:rsid w:val="6BDF71AC"/>
    <w:rsid w:val="6BEFDA39"/>
    <w:rsid w:val="6EDB8AA0"/>
    <w:rsid w:val="6F9FC5A1"/>
    <w:rsid w:val="6FC7DE71"/>
    <w:rsid w:val="6FFE99E2"/>
    <w:rsid w:val="74775722"/>
    <w:rsid w:val="74A06189"/>
    <w:rsid w:val="76DF03BA"/>
    <w:rsid w:val="76F163B0"/>
    <w:rsid w:val="76FADFE0"/>
    <w:rsid w:val="77AB44F0"/>
    <w:rsid w:val="77DB4338"/>
    <w:rsid w:val="77FAAA90"/>
    <w:rsid w:val="77FB8BB9"/>
    <w:rsid w:val="77FF4F4D"/>
    <w:rsid w:val="79C73ADB"/>
    <w:rsid w:val="79DF7FB5"/>
    <w:rsid w:val="79E7D86C"/>
    <w:rsid w:val="7AF72C63"/>
    <w:rsid w:val="7B9F19A8"/>
    <w:rsid w:val="7BAFE012"/>
    <w:rsid w:val="7BB326E6"/>
    <w:rsid w:val="7BBF6462"/>
    <w:rsid w:val="7BE67291"/>
    <w:rsid w:val="7DDBF9EB"/>
    <w:rsid w:val="7DDF0FD5"/>
    <w:rsid w:val="7DEB18E6"/>
    <w:rsid w:val="7DFABDF0"/>
    <w:rsid w:val="7DFC9C97"/>
    <w:rsid w:val="7E4F2AA8"/>
    <w:rsid w:val="7ECF4D1C"/>
    <w:rsid w:val="7EDFC899"/>
    <w:rsid w:val="7EDFE945"/>
    <w:rsid w:val="7EF507FB"/>
    <w:rsid w:val="7EFA8BE7"/>
    <w:rsid w:val="7EFE0B3C"/>
    <w:rsid w:val="7F5EB3F2"/>
    <w:rsid w:val="7F8986A9"/>
    <w:rsid w:val="7F9E9D46"/>
    <w:rsid w:val="7FD36482"/>
    <w:rsid w:val="7FDCB8A2"/>
    <w:rsid w:val="7FEF4D5F"/>
    <w:rsid w:val="7FFBFE99"/>
    <w:rsid w:val="7FFD3C8A"/>
    <w:rsid w:val="7FFD839B"/>
    <w:rsid w:val="7FFF6117"/>
    <w:rsid w:val="8DDB8792"/>
    <w:rsid w:val="8FFFDBFD"/>
    <w:rsid w:val="97B7BF3D"/>
    <w:rsid w:val="9F6BE11D"/>
    <w:rsid w:val="9FDDE28C"/>
    <w:rsid w:val="9FDF96C3"/>
    <w:rsid w:val="9FFE926C"/>
    <w:rsid w:val="A7FF7385"/>
    <w:rsid w:val="ADFFCC43"/>
    <w:rsid w:val="AF770602"/>
    <w:rsid w:val="B4B65697"/>
    <w:rsid w:val="BDFEC861"/>
    <w:rsid w:val="BF7F2A63"/>
    <w:rsid w:val="BFE4B872"/>
    <w:rsid w:val="BFF0BD0E"/>
    <w:rsid w:val="CBD74A9E"/>
    <w:rsid w:val="CEFBB716"/>
    <w:rsid w:val="D4AC0983"/>
    <w:rsid w:val="D6FF0707"/>
    <w:rsid w:val="DCD9D9F5"/>
    <w:rsid w:val="DCFFC57D"/>
    <w:rsid w:val="DEFF7915"/>
    <w:rsid w:val="DF74FCC1"/>
    <w:rsid w:val="DF7BE5A3"/>
    <w:rsid w:val="DFA3C6A0"/>
    <w:rsid w:val="DFFCF955"/>
    <w:rsid w:val="E3939EE8"/>
    <w:rsid w:val="E5FDC6A8"/>
    <w:rsid w:val="EB79EE3F"/>
    <w:rsid w:val="EBFBEAB9"/>
    <w:rsid w:val="EDDD231E"/>
    <w:rsid w:val="EDFAEA14"/>
    <w:rsid w:val="EFB624F1"/>
    <w:rsid w:val="F3FF2900"/>
    <w:rsid w:val="F4FF9E1C"/>
    <w:rsid w:val="F567629C"/>
    <w:rsid w:val="F5F6F364"/>
    <w:rsid w:val="F5FEA879"/>
    <w:rsid w:val="F6CD6FD0"/>
    <w:rsid w:val="F6E3D7EC"/>
    <w:rsid w:val="F6F6C7A8"/>
    <w:rsid w:val="F7775BDF"/>
    <w:rsid w:val="F7E73176"/>
    <w:rsid w:val="F7EF2580"/>
    <w:rsid w:val="F97E61EC"/>
    <w:rsid w:val="FA6D3B5E"/>
    <w:rsid w:val="FAF614B3"/>
    <w:rsid w:val="FB6F6073"/>
    <w:rsid w:val="FB7B3F21"/>
    <w:rsid w:val="FB7E6904"/>
    <w:rsid w:val="FBAFD9D5"/>
    <w:rsid w:val="FBCF2A46"/>
    <w:rsid w:val="FC9FCDC6"/>
    <w:rsid w:val="FD2B2006"/>
    <w:rsid w:val="FD3E3DB4"/>
    <w:rsid w:val="FD5E1E88"/>
    <w:rsid w:val="FDA96D01"/>
    <w:rsid w:val="FDB358CD"/>
    <w:rsid w:val="FE4E6E66"/>
    <w:rsid w:val="FEB79A8F"/>
    <w:rsid w:val="FF1595FB"/>
    <w:rsid w:val="FF4B3504"/>
    <w:rsid w:val="FF7B10C4"/>
    <w:rsid w:val="FF7F6E8A"/>
    <w:rsid w:val="FF9D8141"/>
    <w:rsid w:val="FFB9E3EB"/>
    <w:rsid w:val="FFBFB185"/>
    <w:rsid w:val="FFE6B60B"/>
    <w:rsid w:val="FFEFFC6F"/>
    <w:rsid w:val="FFFB47FD"/>
    <w:rsid w:val="FFFF0D8D"/>
    <w:rsid w:val="FFFF564D"/>
    <w:rsid w:val="FFFF56A8"/>
    <w:rsid w:val="FFFFB19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2"/>
    <w:semiHidden/>
    <w:unhideWhenUsed/>
    <w:qFormat/>
    <w:uiPriority w:val="99"/>
    <w:pPr>
      <w:jc w:val="left"/>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annotation subject"/>
    <w:basedOn w:val="2"/>
    <w:next w:val="2"/>
    <w:link w:val="13"/>
    <w:semiHidden/>
    <w:unhideWhenUsed/>
    <w:qFormat/>
    <w:uiPriority w:val="99"/>
    <w:rPr>
      <w:b/>
      <w:bCs/>
    </w:rPr>
  </w:style>
  <w:style w:type="character" w:styleId="8">
    <w:name w:val="annotation reference"/>
    <w:basedOn w:val="7"/>
    <w:semiHidden/>
    <w:unhideWhenUsed/>
    <w:qFormat/>
    <w:uiPriority w:val="99"/>
    <w:rPr>
      <w:sz w:val="21"/>
      <w:szCs w:val="21"/>
    </w:rPr>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 w:type="paragraph" w:styleId="11">
    <w:name w:val="List Paragraph"/>
    <w:basedOn w:val="1"/>
    <w:qFormat/>
    <w:uiPriority w:val="34"/>
    <w:pPr>
      <w:ind w:firstLine="420" w:firstLineChars="200"/>
    </w:pPr>
  </w:style>
  <w:style w:type="character" w:customStyle="1" w:styleId="12">
    <w:name w:val="批注文字 字符"/>
    <w:basedOn w:val="7"/>
    <w:link w:val="2"/>
    <w:semiHidden/>
    <w:qFormat/>
    <w:uiPriority w:val="99"/>
    <w:rPr>
      <w:rFonts w:asciiTheme="minorHAnsi" w:hAnsiTheme="minorHAnsi" w:eastAsiaTheme="minorEastAsia" w:cstheme="minorBidi"/>
      <w:kern w:val="2"/>
      <w:sz w:val="21"/>
      <w:szCs w:val="22"/>
    </w:rPr>
  </w:style>
  <w:style w:type="character" w:customStyle="1" w:styleId="13">
    <w:name w:val="批注主题 字符"/>
    <w:basedOn w:val="12"/>
    <w:link w:val="5"/>
    <w:semiHidden/>
    <w:qFormat/>
    <w:uiPriority w:val="99"/>
    <w:rPr>
      <w:rFonts w:asciiTheme="minorHAnsi" w:hAnsiTheme="minorHAnsi" w:eastAsiaTheme="minorEastAsia" w:cstheme="minorBidi"/>
      <w:b/>
      <w:bCs/>
      <w:kern w:val="2"/>
      <w:sz w:val="21"/>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Pages>
  <Words>907</Words>
  <Characters>5171</Characters>
  <Lines>43</Lines>
  <Paragraphs>12</Paragraphs>
  <TotalTime>2</TotalTime>
  <ScaleCrop>false</ScaleCrop>
  <LinksUpToDate>false</LinksUpToDate>
  <CharactersWithSpaces>6066</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2023-07-13T17:00:00Z</dcterms:created>
  <dc:creator>Apache POI</dc:creator>
  <cp:lastModifiedBy>Administrator</cp:lastModifiedBy>
  <dcterms:modified xsi:type="dcterms:W3CDTF">2026-09-01T08:27:04Z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A68BFE6E81C6603B4E7D966A8A4BA9F3</vt:lpwstr>
  </property>
  <property fmtid="{D5CDD505-2E9C-101B-9397-08002B2CF9AE}" pid="4" name="KSOTemplateDocerSaveRecord">
    <vt:lpwstr>eyJoZGlkIjoiZjc5ZTk0ZmQ1YWVkYmIwMGM4MWY2OGE2OWEyYjczY2QiLCJ1c2VySWQiOiI5NTE4MDk4MzkifQ==</vt:lpwstr>
  </property>
</Properties>
</file>