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360" w:lineRule="auto"/>
        <w:jc w:val="center"/>
        <w:rPr>
          <w:rFonts w:ascii="楷体_GB2312" w:hAnsi="Times New Roman" w:eastAsia="楷体_GB2312" w:cs="Times New Roman"/>
          <w:b/>
          <w:sz w:val="30"/>
          <w:szCs w:val="30"/>
        </w:rPr>
      </w:pPr>
      <w:r>
        <w:rPr>
          <w:rFonts w:hint="eastAsia" w:ascii="楷体_GB2312" w:hAnsi="Times New Roman" w:eastAsia="楷体_GB2312" w:cs="Times New Roman"/>
          <w:b/>
          <w:sz w:val="30"/>
          <w:szCs w:val="30"/>
        </w:rPr>
        <w:t>2026—2028年小微企业知识产权及数据产权评估采购需求</w:t>
      </w:r>
    </w:p>
    <w:p>
      <w:pPr>
        <w:adjustRightInd w:val="0"/>
        <w:snapToGrid w:val="0"/>
        <w:spacing w:line="360" w:lineRule="auto"/>
        <w:jc w:val="center"/>
        <w:rPr>
          <w:rFonts w:ascii="楷体_GB2312" w:hAnsi="Times New Roman" w:eastAsia="楷体_GB2312" w:cs="Times New Roman"/>
          <w:b/>
          <w:sz w:val="30"/>
          <w:szCs w:val="30"/>
        </w:rPr>
      </w:pPr>
    </w:p>
    <w:p>
      <w:pPr>
        <w:pStyle w:val="8"/>
        <w:numPr>
          <w:ilvl w:val="0"/>
          <w:numId w:val="1"/>
        </w:numPr>
        <w:spacing w:line="276" w:lineRule="auto"/>
        <w:ind w:firstLineChars="0"/>
        <w:jc w:val="left"/>
        <w:rPr>
          <w:rFonts w:ascii="彩虹楷体" w:eastAsia="彩虹楷体"/>
          <w:sz w:val="28"/>
          <w:szCs w:val="28"/>
        </w:rPr>
      </w:pPr>
      <w:r>
        <w:rPr>
          <w:rFonts w:hint="eastAsia" w:ascii="彩虹楷体" w:eastAsia="彩虹楷体"/>
          <w:sz w:val="28"/>
          <w:szCs w:val="28"/>
        </w:rPr>
        <w:t>服务供应商要求</w:t>
      </w:r>
    </w:p>
    <w:p>
      <w:pPr>
        <w:spacing w:line="276" w:lineRule="auto"/>
        <w:ind w:firstLine="700" w:firstLineChars="250"/>
        <w:jc w:val="left"/>
        <w:rPr>
          <w:rFonts w:ascii="彩虹楷体" w:eastAsia="彩虹楷体"/>
          <w:sz w:val="28"/>
          <w:szCs w:val="28"/>
        </w:rPr>
      </w:pPr>
      <w:r>
        <w:rPr>
          <w:rFonts w:hint="eastAsia" w:ascii="彩虹楷体" w:eastAsia="彩虹楷体"/>
          <w:sz w:val="28"/>
          <w:szCs w:val="28"/>
        </w:rPr>
        <w:t>服务供应商应符合《资产评估法》《资产评估基本准则》和相应评估机构行业审批备案部门的要求，并具</w:t>
      </w:r>
      <w:bookmarkStart w:id="0" w:name="_GoBack"/>
      <w:bookmarkEnd w:id="0"/>
      <w:r>
        <w:rPr>
          <w:rFonts w:hint="eastAsia" w:ascii="彩虹楷体" w:eastAsia="彩虹楷体"/>
          <w:sz w:val="28"/>
          <w:szCs w:val="28"/>
        </w:rPr>
        <w:t>备充足的专业评估人员。具体详见供应商征集公告。</w:t>
      </w:r>
    </w:p>
    <w:p>
      <w:pPr>
        <w:pStyle w:val="8"/>
        <w:numPr>
          <w:ilvl w:val="0"/>
          <w:numId w:val="1"/>
        </w:numPr>
        <w:spacing w:line="276" w:lineRule="auto"/>
        <w:ind w:firstLineChars="0"/>
        <w:jc w:val="left"/>
        <w:rPr>
          <w:rFonts w:ascii="彩虹楷体" w:eastAsia="彩虹楷体"/>
          <w:sz w:val="28"/>
          <w:szCs w:val="28"/>
        </w:rPr>
      </w:pPr>
      <w:r>
        <w:rPr>
          <w:rFonts w:hint="eastAsia" w:ascii="彩虹楷体" w:eastAsia="彩虹楷体"/>
          <w:sz w:val="28"/>
          <w:szCs w:val="28"/>
        </w:rPr>
        <w:t>服务内容</w:t>
      </w:r>
    </w:p>
    <w:p>
      <w:pPr>
        <w:spacing w:line="276" w:lineRule="auto"/>
        <w:ind w:firstLine="560" w:firstLineChars="200"/>
        <w:jc w:val="left"/>
        <w:rPr>
          <w:rFonts w:ascii="彩虹楷体" w:hAnsi="宋体" w:eastAsia="彩虹楷体" w:cs="宋体"/>
          <w:sz w:val="28"/>
          <w:szCs w:val="28"/>
        </w:rPr>
      </w:pPr>
      <w:r>
        <w:rPr>
          <w:rFonts w:hint="eastAsia" w:ascii="彩虹楷体" w:hAnsi="宋体" w:eastAsia="彩虹楷体" w:cs="宋体"/>
          <w:sz w:val="28"/>
          <w:szCs w:val="28"/>
        </w:rPr>
        <w:t>供应商按照国家相关管理规定及建设银行技术标准和管理要求，根据建设银行业务需求提供评估服务并出具评估报告，其中对知识产权评估应提供知识产权质押登记代办服务。</w:t>
      </w:r>
    </w:p>
    <w:p>
      <w:pPr>
        <w:pStyle w:val="8"/>
        <w:numPr>
          <w:ilvl w:val="0"/>
          <w:numId w:val="1"/>
        </w:numPr>
        <w:spacing w:line="276" w:lineRule="auto"/>
        <w:ind w:firstLineChars="0"/>
        <w:jc w:val="left"/>
        <w:rPr>
          <w:rFonts w:ascii="彩虹楷体" w:eastAsia="彩虹楷体"/>
          <w:sz w:val="28"/>
          <w:szCs w:val="28"/>
        </w:rPr>
      </w:pPr>
      <w:r>
        <w:rPr>
          <w:rFonts w:hint="eastAsia" w:ascii="彩虹楷体" w:eastAsia="彩虹楷体"/>
          <w:sz w:val="28"/>
          <w:szCs w:val="28"/>
        </w:rPr>
        <w:t>服务团队</w:t>
      </w:r>
    </w:p>
    <w:p>
      <w:pPr>
        <w:spacing w:line="276" w:lineRule="auto"/>
        <w:ind w:firstLine="700" w:firstLineChars="250"/>
        <w:jc w:val="left"/>
        <w:rPr>
          <w:rFonts w:ascii="彩虹楷体" w:eastAsia="彩虹楷体" w:hAnsiTheme="minorEastAsia"/>
          <w:sz w:val="28"/>
          <w:szCs w:val="28"/>
        </w:rPr>
      </w:pPr>
      <w:r>
        <w:rPr>
          <w:rFonts w:hint="eastAsia" w:ascii="彩虹楷体" w:eastAsia="彩虹楷体" w:hAnsiTheme="minorEastAsia"/>
          <w:sz w:val="28"/>
          <w:szCs w:val="28"/>
        </w:rPr>
        <w:t>1.供应商应组建专门的服务团队与我行进行日常业务对接，对接人需具备良好的沟通协调能力, 配备能满足评估业务效率的评估人员。须安排至少1名专职人员负责后续与分行日常对接，包括但不限于核对项目明细、开具发票、投诉处理等。</w:t>
      </w:r>
    </w:p>
    <w:p>
      <w:pPr>
        <w:spacing w:line="276" w:lineRule="auto"/>
        <w:ind w:firstLine="700" w:firstLineChars="250"/>
        <w:jc w:val="left"/>
        <w:rPr>
          <w:rFonts w:ascii="彩虹楷体" w:eastAsia="彩虹楷体" w:hAnsiTheme="minorEastAsia"/>
          <w:sz w:val="28"/>
          <w:szCs w:val="28"/>
        </w:rPr>
      </w:pPr>
      <w:r>
        <w:rPr>
          <w:rFonts w:hint="eastAsia" w:ascii="彩虹楷体" w:eastAsia="彩虹楷体" w:hAnsiTheme="minorEastAsia"/>
          <w:sz w:val="28"/>
          <w:szCs w:val="28"/>
        </w:rPr>
        <w:t>2.供应商为建设银行配备至少2名提供服务的评估师，评估师应具有丰富知识产权和数据产权评估经验，具备多年金融行业服务和项目管理经验。项目成员应拥有资产评估师资质并在评估协会注册为执业状态；按评估行业协会的规定完成继续教育。执业满三年且诚实守信，遵守法律法规及评估准则，履行调查职责，独立分析估算，勤勉谨慎从事评估业务服务。</w:t>
      </w:r>
    </w:p>
    <w:p>
      <w:pPr>
        <w:pStyle w:val="8"/>
        <w:numPr>
          <w:ilvl w:val="0"/>
          <w:numId w:val="1"/>
        </w:numPr>
        <w:spacing w:line="276" w:lineRule="auto"/>
        <w:ind w:firstLineChars="0"/>
        <w:jc w:val="left"/>
        <w:rPr>
          <w:rFonts w:ascii="彩虹楷体" w:eastAsia="彩虹楷体"/>
          <w:sz w:val="28"/>
          <w:szCs w:val="28"/>
        </w:rPr>
      </w:pPr>
      <w:r>
        <w:rPr>
          <w:rFonts w:hint="eastAsia" w:ascii="彩虹楷体" w:eastAsia="彩虹楷体"/>
          <w:sz w:val="28"/>
          <w:szCs w:val="28"/>
        </w:rPr>
        <w:t>服务质量要求</w:t>
      </w:r>
    </w:p>
    <w:p>
      <w:pPr>
        <w:adjustRightInd w:val="0"/>
        <w:snapToGrid w:val="0"/>
        <w:spacing w:line="360" w:lineRule="auto"/>
        <w:ind w:firstLine="560" w:firstLineChars="200"/>
        <w:rPr>
          <w:rFonts w:ascii="彩虹楷体" w:eastAsia="彩虹楷体" w:hAnsiTheme="minorEastAsia"/>
          <w:sz w:val="28"/>
          <w:szCs w:val="28"/>
        </w:rPr>
      </w:pPr>
      <w:r>
        <w:rPr>
          <w:rFonts w:hint="eastAsia" w:ascii="彩虹楷体" w:eastAsia="彩虹楷体" w:hAnsiTheme="minorEastAsia"/>
          <w:sz w:val="28"/>
          <w:szCs w:val="28"/>
        </w:rPr>
        <w:t>知识产权评估服务：评估公司须严格按合作协议约定，保证业务服务质量，保证在合作协议约定时效内出具评估报告并代办完成质押取件等手续。评估公司对评估报告和服务的充分性、精确性、完整性、有效性、合法合规性、可执行性承担法律责任。</w:t>
      </w:r>
    </w:p>
    <w:p>
      <w:pPr>
        <w:adjustRightInd w:val="0"/>
        <w:snapToGrid w:val="0"/>
        <w:spacing w:line="360" w:lineRule="auto"/>
        <w:ind w:firstLine="560" w:firstLineChars="200"/>
        <w:rPr>
          <w:rFonts w:ascii="彩虹楷体" w:eastAsia="彩虹楷体" w:hAnsiTheme="minorEastAsia"/>
          <w:sz w:val="28"/>
          <w:szCs w:val="28"/>
        </w:rPr>
      </w:pPr>
      <w:r>
        <w:rPr>
          <w:rFonts w:hint="eastAsia" w:ascii="彩虹楷体" w:eastAsia="彩虹楷体" w:hAnsiTheme="minorEastAsia"/>
          <w:sz w:val="28"/>
          <w:szCs w:val="28"/>
        </w:rPr>
        <w:t>数据产权评估服务：评估公司须严格按合作协议约定，保证业务服务质量，保证在合作协议约定时效内出具评估报告。评估公司对评估报告和服务的充分性、精确性、完整性、有效性、合法合规性、可执行性承担法律责任。</w:t>
      </w:r>
    </w:p>
    <w:p>
      <w:pPr>
        <w:pStyle w:val="8"/>
        <w:numPr>
          <w:ilvl w:val="0"/>
          <w:numId w:val="1"/>
        </w:numPr>
        <w:spacing w:line="276" w:lineRule="auto"/>
        <w:ind w:firstLineChars="0"/>
        <w:jc w:val="left"/>
        <w:rPr>
          <w:rFonts w:ascii="彩虹楷体" w:eastAsia="彩虹楷体"/>
          <w:sz w:val="28"/>
          <w:szCs w:val="28"/>
        </w:rPr>
      </w:pPr>
      <w:r>
        <w:rPr>
          <w:rFonts w:hint="eastAsia" w:ascii="彩虹楷体" w:eastAsia="彩虹楷体"/>
          <w:sz w:val="28"/>
          <w:szCs w:val="28"/>
        </w:rPr>
        <w:t>服务数量要求</w:t>
      </w:r>
    </w:p>
    <w:tbl>
      <w:tblPr>
        <w:tblStyle w:val="4"/>
        <w:tblW w:w="0" w:type="auto"/>
        <w:tblInd w:w="0" w:type="dxa"/>
        <w:tblLayout w:type="autofit"/>
        <w:tblCellMar>
          <w:top w:w="0" w:type="dxa"/>
          <w:left w:w="108" w:type="dxa"/>
          <w:bottom w:w="0" w:type="dxa"/>
          <w:right w:w="108" w:type="dxa"/>
        </w:tblCellMar>
      </w:tblPr>
      <w:tblGrid>
        <w:gridCol w:w="1476"/>
        <w:gridCol w:w="1060"/>
        <w:gridCol w:w="1060"/>
        <w:gridCol w:w="1060"/>
        <w:gridCol w:w="1271"/>
      </w:tblGrid>
      <w:tr>
        <w:tblPrEx>
          <w:tblCellMar>
            <w:top w:w="0" w:type="dxa"/>
            <w:left w:w="108" w:type="dxa"/>
            <w:bottom w:w="0" w:type="dxa"/>
            <w:right w:w="108" w:type="dxa"/>
          </w:tblCellMar>
        </w:tblPrEx>
        <w:trPr>
          <w:trHeight w:val="535" w:hRule="atLeast"/>
        </w:trPr>
        <w:tc>
          <w:tcPr>
            <w:tcW w:w="0" w:type="auto"/>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b/>
                <w:bCs/>
                <w:color w:val="000000"/>
                <w:kern w:val="0"/>
                <w:szCs w:val="21"/>
              </w:rPr>
            </w:pPr>
            <w:r>
              <w:rPr>
                <w:rFonts w:hint="eastAsia" w:ascii="宋体" w:hAnsi="宋体" w:cs="宋体"/>
                <w:b/>
                <w:bCs/>
                <w:color w:val="000000"/>
                <w:kern w:val="0"/>
                <w:szCs w:val="21"/>
              </w:rPr>
              <w:t>评估类型</w:t>
            </w:r>
          </w:p>
        </w:tc>
        <w:tc>
          <w:tcPr>
            <w:tcW w:w="0" w:type="auto"/>
            <w:gridSpan w:val="4"/>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宋体" w:hAnsi="宋体" w:cs="宋体"/>
                <w:b/>
                <w:bCs/>
                <w:color w:val="000000"/>
                <w:kern w:val="0"/>
                <w:szCs w:val="21"/>
              </w:rPr>
            </w:pPr>
            <w:r>
              <w:rPr>
                <w:rFonts w:hint="eastAsia" w:ascii="宋体" w:hAnsi="宋体" w:cs="宋体"/>
                <w:b/>
                <w:bCs/>
                <w:color w:val="000000"/>
                <w:kern w:val="0"/>
                <w:szCs w:val="21"/>
              </w:rPr>
              <w:t>2026-2028年（二年期）业务量预测</w:t>
            </w:r>
          </w:p>
        </w:tc>
      </w:tr>
      <w:tr>
        <w:tblPrEx>
          <w:tblCellMar>
            <w:top w:w="0" w:type="dxa"/>
            <w:left w:w="108" w:type="dxa"/>
            <w:bottom w:w="0" w:type="dxa"/>
            <w:right w:w="108" w:type="dxa"/>
          </w:tblCellMar>
        </w:tblPrEx>
        <w:trPr>
          <w:trHeight w:val="549"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Cs w:val="21"/>
              </w:rPr>
            </w:pP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Cs w:val="21"/>
              </w:rPr>
            </w:pPr>
            <w:r>
              <w:rPr>
                <w:rFonts w:hint="eastAsia" w:ascii="宋体" w:hAnsi="宋体" w:cs="宋体"/>
                <w:b/>
                <w:bCs/>
                <w:color w:val="000000"/>
                <w:kern w:val="0"/>
                <w:szCs w:val="21"/>
              </w:rPr>
              <w:t>贷款</w:t>
            </w:r>
            <w:r>
              <w:rPr>
                <w:rFonts w:hint="eastAsia" w:ascii="宋体" w:hAnsi="宋体" w:cs="宋体"/>
                <w:b/>
                <w:bCs/>
                <w:color w:val="000000"/>
                <w:kern w:val="0"/>
                <w:szCs w:val="21"/>
              </w:rPr>
              <w:br w:type="textWrapping"/>
            </w:r>
            <w:r>
              <w:rPr>
                <w:rFonts w:hint="eastAsia" w:ascii="宋体" w:hAnsi="宋体" w:cs="宋体"/>
                <w:b/>
                <w:bCs/>
                <w:color w:val="000000"/>
                <w:kern w:val="0"/>
                <w:szCs w:val="21"/>
              </w:rPr>
              <w:t>金额</w:t>
            </w:r>
          </w:p>
          <w:p>
            <w:pPr>
              <w:widowControl/>
              <w:jc w:val="center"/>
              <w:rPr>
                <w:rFonts w:ascii="宋体" w:hAnsi="宋体" w:cs="宋体"/>
                <w:b/>
                <w:bCs/>
                <w:color w:val="000000"/>
                <w:kern w:val="0"/>
                <w:szCs w:val="21"/>
              </w:rPr>
            </w:pPr>
            <w:r>
              <w:rPr>
                <w:rFonts w:hint="eastAsia" w:ascii="宋体" w:hAnsi="宋体" w:cs="宋体"/>
                <w:b/>
                <w:bCs/>
                <w:color w:val="000000"/>
                <w:kern w:val="0"/>
                <w:szCs w:val="21"/>
              </w:rPr>
              <w:t>（万元）</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Cs w:val="21"/>
              </w:rPr>
            </w:pPr>
            <w:r>
              <w:rPr>
                <w:rFonts w:hint="eastAsia" w:ascii="宋体" w:hAnsi="宋体" w:cs="宋体"/>
                <w:b/>
                <w:bCs/>
                <w:color w:val="000000"/>
                <w:kern w:val="0"/>
                <w:szCs w:val="21"/>
              </w:rPr>
              <w:t>贷款金额</w:t>
            </w:r>
            <w:r>
              <w:rPr>
                <w:rFonts w:hint="eastAsia" w:ascii="宋体" w:hAnsi="宋体" w:cs="宋体"/>
                <w:b/>
                <w:bCs/>
                <w:color w:val="000000"/>
                <w:kern w:val="0"/>
                <w:szCs w:val="21"/>
              </w:rPr>
              <w:br w:type="textWrapping"/>
            </w:r>
            <w:r>
              <w:rPr>
                <w:rFonts w:hint="eastAsia" w:ascii="宋体" w:hAnsi="宋体" w:cs="宋体"/>
                <w:b/>
                <w:bCs/>
                <w:color w:val="000000"/>
                <w:kern w:val="0"/>
                <w:szCs w:val="21"/>
              </w:rPr>
              <w:t>占比</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Cs w:val="21"/>
              </w:rPr>
            </w:pPr>
            <w:r>
              <w:rPr>
                <w:rFonts w:hint="eastAsia" w:ascii="宋体" w:hAnsi="宋体" w:cs="宋体"/>
                <w:b/>
                <w:bCs/>
                <w:color w:val="000000"/>
                <w:kern w:val="0"/>
                <w:szCs w:val="21"/>
              </w:rPr>
              <w:t>户均</w:t>
            </w:r>
            <w:r>
              <w:rPr>
                <w:rFonts w:hint="eastAsia" w:ascii="宋体" w:hAnsi="宋体" w:cs="宋体"/>
                <w:b/>
                <w:bCs/>
                <w:color w:val="000000"/>
                <w:kern w:val="0"/>
                <w:szCs w:val="21"/>
              </w:rPr>
              <w:br w:type="textWrapping"/>
            </w:r>
            <w:r>
              <w:rPr>
                <w:rFonts w:hint="eastAsia" w:ascii="宋体" w:hAnsi="宋体" w:cs="宋体"/>
                <w:b/>
                <w:bCs/>
                <w:color w:val="000000"/>
                <w:kern w:val="0"/>
                <w:szCs w:val="21"/>
              </w:rPr>
              <w:t>贷款</w:t>
            </w:r>
          </w:p>
          <w:p>
            <w:pPr>
              <w:widowControl/>
              <w:jc w:val="center"/>
              <w:rPr>
                <w:rFonts w:ascii="宋体" w:hAnsi="宋体" w:cs="宋体"/>
                <w:b/>
                <w:bCs/>
                <w:color w:val="000000"/>
                <w:kern w:val="0"/>
                <w:szCs w:val="21"/>
              </w:rPr>
            </w:pPr>
            <w:r>
              <w:rPr>
                <w:rFonts w:hint="eastAsia" w:ascii="宋体" w:hAnsi="宋体" w:cs="宋体"/>
                <w:b/>
                <w:bCs/>
                <w:color w:val="000000"/>
                <w:kern w:val="0"/>
                <w:szCs w:val="21"/>
              </w:rPr>
              <w:t>（万元）</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Cs w:val="21"/>
              </w:rPr>
            </w:pPr>
            <w:r>
              <w:rPr>
                <w:rFonts w:hint="eastAsia" w:ascii="宋体" w:hAnsi="宋体" w:cs="宋体"/>
                <w:b/>
                <w:bCs/>
                <w:color w:val="000000"/>
                <w:kern w:val="0"/>
                <w:szCs w:val="21"/>
              </w:rPr>
              <w:t>贷款</w:t>
            </w:r>
            <w:r>
              <w:rPr>
                <w:rFonts w:hint="eastAsia" w:ascii="宋体" w:hAnsi="宋体" w:cs="宋体"/>
                <w:b/>
                <w:bCs/>
                <w:color w:val="000000"/>
                <w:kern w:val="0"/>
                <w:szCs w:val="21"/>
              </w:rPr>
              <w:br w:type="textWrapping"/>
            </w:r>
            <w:r>
              <w:rPr>
                <w:rFonts w:hint="eastAsia" w:ascii="宋体" w:hAnsi="宋体" w:cs="宋体"/>
                <w:b/>
                <w:bCs/>
                <w:color w:val="000000"/>
                <w:kern w:val="0"/>
                <w:szCs w:val="21"/>
              </w:rPr>
              <w:t>笔数（笔）</w:t>
            </w:r>
          </w:p>
        </w:tc>
      </w:tr>
      <w:tr>
        <w:tblPrEx>
          <w:tblCellMar>
            <w:top w:w="0" w:type="dxa"/>
            <w:left w:w="108" w:type="dxa"/>
            <w:bottom w:w="0" w:type="dxa"/>
            <w:right w:w="108" w:type="dxa"/>
          </w:tblCellMar>
        </w:tblPrEx>
        <w:trPr>
          <w:trHeight w:val="521" w:hRule="atLeast"/>
        </w:trPr>
        <w:tc>
          <w:tcPr>
            <w:tcW w:w="0" w:type="auto"/>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知识产权评估</w:t>
            </w: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25000</w:t>
            </w: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62.5%</w:t>
            </w: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500</w:t>
            </w: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50</w:t>
            </w:r>
          </w:p>
        </w:tc>
      </w:tr>
      <w:tr>
        <w:tblPrEx>
          <w:tblCellMar>
            <w:top w:w="0" w:type="dxa"/>
            <w:left w:w="108" w:type="dxa"/>
            <w:bottom w:w="0" w:type="dxa"/>
            <w:right w:w="108" w:type="dxa"/>
          </w:tblCellMar>
        </w:tblPrEx>
        <w:trPr>
          <w:trHeight w:val="559" w:hRule="atLeast"/>
        </w:trPr>
        <w:tc>
          <w:tcPr>
            <w:tcW w:w="0" w:type="auto"/>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数据产权评估</w:t>
            </w: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15000</w:t>
            </w: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37.5%</w:t>
            </w: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300</w:t>
            </w: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50</w:t>
            </w:r>
          </w:p>
        </w:tc>
      </w:tr>
      <w:tr>
        <w:tblPrEx>
          <w:tblCellMar>
            <w:top w:w="0" w:type="dxa"/>
            <w:left w:w="108" w:type="dxa"/>
            <w:bottom w:w="0" w:type="dxa"/>
            <w:right w:w="108" w:type="dxa"/>
          </w:tblCellMar>
        </w:tblPrEx>
        <w:trPr>
          <w:trHeight w:val="260" w:hRule="atLeast"/>
        </w:trPr>
        <w:tc>
          <w:tcPr>
            <w:tcW w:w="0" w:type="auto"/>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合计</w:t>
            </w: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40000</w:t>
            </w: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100%</w:t>
            </w: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w:t>
            </w: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100</w:t>
            </w:r>
          </w:p>
        </w:tc>
      </w:tr>
    </w:tbl>
    <w:p>
      <w:pPr>
        <w:spacing w:line="276" w:lineRule="auto"/>
        <w:jc w:val="left"/>
        <w:rPr>
          <w:rFonts w:ascii="彩虹楷体" w:eastAsia="彩虹楷体"/>
          <w:sz w:val="28"/>
          <w:szCs w:val="28"/>
        </w:rPr>
      </w:pPr>
      <w:r>
        <w:rPr>
          <w:rFonts w:hint="eastAsia" w:ascii="彩虹楷体" w:eastAsia="彩虹楷体"/>
          <w:sz w:val="28"/>
          <w:szCs w:val="28"/>
        </w:rPr>
        <w:t>备注：实际结算时按评估价与贷款金额孰低作为计价金额，知识产品和数据产权评估按照统一收费标准报价。</w:t>
      </w:r>
    </w:p>
    <w:p>
      <w:pPr>
        <w:pStyle w:val="8"/>
        <w:numPr>
          <w:ilvl w:val="0"/>
          <w:numId w:val="1"/>
        </w:numPr>
        <w:spacing w:line="276" w:lineRule="auto"/>
        <w:ind w:firstLineChars="0"/>
        <w:jc w:val="left"/>
        <w:rPr>
          <w:rFonts w:ascii="彩虹楷体" w:eastAsia="彩虹楷体"/>
          <w:sz w:val="28"/>
          <w:szCs w:val="28"/>
        </w:rPr>
      </w:pPr>
      <w:r>
        <w:rPr>
          <w:rFonts w:hint="eastAsia" w:ascii="彩虹楷体" w:eastAsia="彩虹楷体"/>
          <w:sz w:val="28"/>
          <w:szCs w:val="28"/>
        </w:rPr>
        <w:t>服务供应安排</w:t>
      </w:r>
    </w:p>
    <w:p>
      <w:pPr>
        <w:adjustRightInd w:val="0"/>
        <w:snapToGrid w:val="0"/>
        <w:spacing w:line="360" w:lineRule="auto"/>
        <w:ind w:firstLine="560" w:firstLineChars="200"/>
        <w:rPr>
          <w:rFonts w:ascii="彩虹楷体" w:eastAsia="彩虹楷体" w:hAnsiTheme="minorEastAsia"/>
          <w:sz w:val="28"/>
          <w:szCs w:val="28"/>
        </w:rPr>
      </w:pPr>
      <w:r>
        <w:rPr>
          <w:rFonts w:hint="eastAsia" w:ascii="彩虹楷体" w:eastAsia="彩虹楷体" w:hAnsiTheme="minorEastAsia"/>
          <w:sz w:val="28"/>
          <w:szCs w:val="28"/>
        </w:rPr>
        <w:t>服务供应商收到我行业务办理需求后，需在合作协议约定时效内出具知识产权/数据产权评估报告，其中知识产品评估需代办完成质押取件手续。</w:t>
      </w:r>
    </w:p>
    <w:p>
      <w:pPr>
        <w:pStyle w:val="8"/>
        <w:numPr>
          <w:ilvl w:val="0"/>
          <w:numId w:val="1"/>
        </w:numPr>
        <w:spacing w:line="276" w:lineRule="auto"/>
        <w:ind w:firstLineChars="0"/>
        <w:jc w:val="left"/>
        <w:rPr>
          <w:rFonts w:ascii="彩虹楷体" w:eastAsia="彩虹楷体"/>
          <w:sz w:val="28"/>
          <w:szCs w:val="28"/>
        </w:rPr>
      </w:pPr>
      <w:r>
        <w:rPr>
          <w:rFonts w:hint="eastAsia" w:ascii="彩虹楷体" w:eastAsia="彩虹楷体"/>
          <w:sz w:val="28"/>
          <w:szCs w:val="28"/>
        </w:rPr>
        <w:t>款项支付要求</w:t>
      </w:r>
    </w:p>
    <w:p>
      <w:pPr>
        <w:spacing w:line="276" w:lineRule="auto"/>
        <w:ind w:firstLine="560" w:firstLineChars="200"/>
        <w:jc w:val="left"/>
        <w:rPr>
          <w:rFonts w:ascii="彩虹楷体" w:eastAsia="彩虹楷体" w:hAnsiTheme="minorEastAsia"/>
          <w:sz w:val="28"/>
          <w:szCs w:val="28"/>
        </w:rPr>
      </w:pPr>
      <w:r>
        <w:rPr>
          <w:rFonts w:hint="eastAsia" w:ascii="彩虹楷体" w:eastAsia="彩虹楷体" w:hAnsiTheme="minorEastAsia"/>
          <w:sz w:val="28"/>
          <w:szCs w:val="28"/>
        </w:rPr>
        <w:t>以邀请函为准。</w:t>
      </w:r>
    </w:p>
    <w:p>
      <w:pPr>
        <w:pStyle w:val="8"/>
        <w:numPr>
          <w:ilvl w:val="0"/>
          <w:numId w:val="1"/>
        </w:numPr>
        <w:spacing w:line="276" w:lineRule="auto"/>
        <w:ind w:firstLineChars="0"/>
        <w:jc w:val="left"/>
        <w:rPr>
          <w:rFonts w:ascii="彩虹楷体" w:eastAsia="彩虹楷体"/>
          <w:sz w:val="28"/>
          <w:szCs w:val="28"/>
        </w:rPr>
      </w:pPr>
      <w:r>
        <w:rPr>
          <w:rFonts w:hint="eastAsia" w:ascii="彩虹楷体" w:eastAsia="彩虹楷体"/>
          <w:sz w:val="28"/>
          <w:szCs w:val="28"/>
        </w:rPr>
        <w:t>售后服务要求</w:t>
      </w:r>
    </w:p>
    <w:p>
      <w:pPr>
        <w:spacing w:line="276" w:lineRule="auto"/>
        <w:ind w:firstLine="560" w:firstLineChars="200"/>
        <w:jc w:val="left"/>
        <w:rPr>
          <w:rFonts w:ascii="彩虹楷体" w:eastAsia="彩虹楷体" w:hAnsiTheme="minorEastAsia"/>
          <w:sz w:val="28"/>
          <w:szCs w:val="28"/>
        </w:rPr>
      </w:pPr>
      <w:r>
        <w:rPr>
          <w:rFonts w:hint="eastAsia" w:ascii="彩虹楷体" w:eastAsia="彩虹楷体"/>
          <w:sz w:val="28"/>
          <w:szCs w:val="28"/>
        </w:rPr>
        <w:t>服务供应商</w:t>
      </w:r>
      <w:r>
        <w:rPr>
          <w:rFonts w:hint="eastAsia" w:ascii="彩虹楷体" w:eastAsia="彩虹楷体" w:hAnsiTheme="minorEastAsia"/>
          <w:sz w:val="28"/>
          <w:szCs w:val="28"/>
        </w:rPr>
        <w:t>需于每季的5日前将上季度的服务台账、发票等与我行指定人员进行交接。</w:t>
      </w:r>
    </w:p>
    <w:p>
      <w:pPr>
        <w:pStyle w:val="8"/>
        <w:numPr>
          <w:ilvl w:val="0"/>
          <w:numId w:val="1"/>
        </w:numPr>
        <w:spacing w:line="276" w:lineRule="auto"/>
        <w:ind w:firstLineChars="0"/>
        <w:jc w:val="left"/>
        <w:rPr>
          <w:rFonts w:ascii="彩虹楷体" w:eastAsia="彩虹楷体"/>
          <w:sz w:val="28"/>
          <w:szCs w:val="28"/>
        </w:rPr>
      </w:pPr>
      <w:r>
        <w:rPr>
          <w:rFonts w:hint="eastAsia" w:ascii="彩虹楷体" w:eastAsia="彩虹楷体"/>
          <w:sz w:val="28"/>
          <w:szCs w:val="28"/>
        </w:rPr>
        <w:t>报价要求</w:t>
      </w:r>
    </w:p>
    <w:p>
      <w:pPr>
        <w:spacing w:line="276" w:lineRule="auto"/>
        <w:ind w:firstLine="560" w:firstLineChars="200"/>
        <w:jc w:val="left"/>
        <w:rPr>
          <w:rFonts w:ascii="彩虹楷体" w:eastAsia="彩虹楷体"/>
          <w:sz w:val="28"/>
          <w:szCs w:val="28"/>
        </w:rPr>
      </w:pPr>
      <w:r>
        <w:rPr>
          <w:rFonts w:hint="eastAsia" w:ascii="彩虹楷体" w:eastAsia="彩虹楷体"/>
          <w:sz w:val="28"/>
          <w:szCs w:val="28"/>
        </w:rPr>
        <w:t>无。</w:t>
      </w:r>
    </w:p>
    <w:p>
      <w:pPr>
        <w:spacing w:line="276" w:lineRule="auto"/>
        <w:jc w:val="left"/>
        <w:rPr>
          <w:rFonts w:ascii="彩虹楷体" w:eastAsia="彩虹楷体"/>
          <w:sz w:val="28"/>
          <w:szCs w:val="28"/>
        </w:rPr>
      </w:pPr>
      <w:r>
        <w:rPr>
          <w:rFonts w:hint="eastAsia" w:ascii="彩虹楷体" w:eastAsia="彩虹楷体"/>
          <w:sz w:val="28"/>
          <w:szCs w:val="28"/>
        </w:rPr>
        <w:t>十一、其他要求</w:t>
      </w:r>
    </w:p>
    <w:p>
      <w:pPr>
        <w:spacing w:line="276" w:lineRule="auto"/>
        <w:ind w:firstLine="560" w:firstLineChars="200"/>
        <w:jc w:val="left"/>
        <w:rPr>
          <w:rFonts w:ascii="彩虹楷体" w:eastAsia="彩虹楷体" w:hAnsiTheme="minorEastAsia"/>
          <w:sz w:val="28"/>
          <w:szCs w:val="28"/>
        </w:rPr>
      </w:pPr>
      <w:r>
        <w:rPr>
          <w:rFonts w:hint="eastAsia" w:ascii="彩虹楷体" w:eastAsia="彩虹楷体" w:hAnsiTheme="minorEastAsia"/>
          <w:sz w:val="28"/>
          <w:szCs w:val="28"/>
        </w:rPr>
        <w:t>无。</w:t>
      </w:r>
    </w:p>
    <w:p>
      <w:pPr>
        <w:rPr>
          <w:rFonts w:ascii="彩虹楷体" w:eastAsia="彩虹楷体"/>
        </w:rPr>
      </w:pPr>
    </w:p>
    <w:p>
      <w:pPr>
        <w:rPr>
          <w:rFonts w:ascii="彩虹楷体" w:eastAsia="彩虹楷体"/>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0000000000000000000"/>
    <w:charset w:val="86"/>
    <w:family w:val="modern"/>
    <w:pitch w:val="default"/>
    <w:sig w:usb0="00000000" w:usb1="00000000" w:usb2="00000010" w:usb3="00000000" w:csb0="00040000" w:csb1="00000000"/>
  </w:font>
  <w:font w:name="彩虹楷体">
    <w:panose1 w:val="03000509000000000000"/>
    <w:charset w:val="86"/>
    <w:family w:val="script"/>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8324535"/>
    <w:multiLevelType w:val="multilevel"/>
    <w:tmpl w:val="28324535"/>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revisionView w:markup="0"/>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7F4B"/>
    <w:rsid w:val="00023D7A"/>
    <w:rsid w:val="000336F0"/>
    <w:rsid w:val="001645B9"/>
    <w:rsid w:val="0027161F"/>
    <w:rsid w:val="00361DE9"/>
    <w:rsid w:val="0038369B"/>
    <w:rsid w:val="004A2ABD"/>
    <w:rsid w:val="0058217B"/>
    <w:rsid w:val="006D271C"/>
    <w:rsid w:val="00797D4B"/>
    <w:rsid w:val="007C6F59"/>
    <w:rsid w:val="007E6025"/>
    <w:rsid w:val="008C7816"/>
    <w:rsid w:val="008E7C32"/>
    <w:rsid w:val="00A3610D"/>
    <w:rsid w:val="00BD6B19"/>
    <w:rsid w:val="00BE2515"/>
    <w:rsid w:val="00C423B5"/>
    <w:rsid w:val="00C75639"/>
    <w:rsid w:val="00D449C6"/>
    <w:rsid w:val="00D944F1"/>
    <w:rsid w:val="00DB7AB9"/>
    <w:rsid w:val="00E07661"/>
    <w:rsid w:val="00EE1D21"/>
    <w:rsid w:val="00F133D8"/>
    <w:rsid w:val="00F47F4B"/>
    <w:rsid w:val="00F62E2D"/>
    <w:rsid w:val="00F705AA"/>
    <w:rsid w:val="00F72838"/>
    <w:rsid w:val="00FC7D32"/>
    <w:rsid w:val="067429D0"/>
    <w:rsid w:val="481C2C66"/>
    <w:rsid w:val="6775361A"/>
    <w:rsid w:val="7AFFBEBF"/>
    <w:rsid w:val="7ED69AF9"/>
    <w:rsid w:val="9EF95D1C"/>
    <w:rsid w:val="BFBF235E"/>
    <w:rsid w:val="DC9DD2AC"/>
    <w:rsid w:val="F6DF95F3"/>
    <w:rsid w:val="FF9D785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qFormat/>
    <w:uiPriority w:val="99"/>
    <w:rPr>
      <w:sz w:val="18"/>
      <w:szCs w:val="18"/>
    </w:rPr>
  </w:style>
  <w:style w:type="character" w:customStyle="1" w:styleId="7">
    <w:name w:val="页脚 Char"/>
    <w:basedOn w:val="5"/>
    <w:link w:val="2"/>
    <w:qFormat/>
    <w:uiPriority w:val="99"/>
    <w:rPr>
      <w:sz w:val="18"/>
      <w:szCs w:val="18"/>
    </w:rPr>
  </w:style>
  <w:style w:type="paragraph" w:styleId="8">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tyleName="APA" SelectedStyle="\APA.XSL"/>
</file>

<file path=customXml/itemProps1.xml><?xml version="1.0" encoding="utf-8"?>
<ds:datastoreItem xmlns:ds="http://schemas.openxmlformats.org/officeDocument/2006/customXml" ds:itemID="{80F016E3-DC77-4C96-BF0B-4B3229BAA013}">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3</Pages>
  <Words>171</Words>
  <Characters>981</Characters>
  <Lines>8</Lines>
  <Paragraphs>2</Paragraphs>
  <TotalTime>10</TotalTime>
  <ScaleCrop>false</ScaleCrop>
  <LinksUpToDate>false</LinksUpToDate>
  <CharactersWithSpaces>1150</CharactersWithSpaces>
  <Application>WPS Office_12.8.2.15209_F1E327BC-269C-435d-A152-05C5408002CA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2023-05-07T09:07:00Z</dcterms:created>
  <dc:creator>普惠金融事业部</dc:creator>
  <cp:lastModifiedBy>Administrator</cp:lastModifiedBy>
  <dcterms:modified xsi:type="dcterms:W3CDTF">2026-08-31T07:15:51Z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2052-12.8.2.15209</vt:lpwstr>
  </property>
  <property fmtid="{D5CDD505-2E9C-101B-9397-08002B2CF9AE}" pid="3" name="ICV">
    <vt:lpwstr>1D7D74875C664DF3B0B44691BE62124D_13</vt:lpwstr>
  </property>
</Properties>
</file>