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87" w:lineRule="atLeast"/>
        <w:jc w:val="center"/>
        <w:rPr>
          <w:rFonts w:ascii="彩虹粗仿宋" w:hAnsi="彩虹小标宋" w:eastAsia="彩虹粗仿宋" w:cs="彩虹小标宋"/>
          <w:b/>
          <w:bCs/>
          <w:kern w:val="0"/>
          <w:sz w:val="30"/>
          <w:szCs w:val="30"/>
          <w:shd w:val="clear" w:color="auto" w:fill="FFFFFF"/>
        </w:rPr>
      </w:pPr>
      <w:r>
        <w:rPr>
          <w:rFonts w:hint="eastAsia" w:ascii="彩虹粗仿宋" w:hAnsi="彩虹小标宋" w:eastAsia="彩虹粗仿宋" w:cs="彩虹小标宋"/>
          <w:b/>
          <w:bCs/>
          <w:kern w:val="0"/>
          <w:sz w:val="30"/>
          <w:szCs w:val="30"/>
          <w:shd w:val="clear" w:color="auto" w:fill="FFFFFF"/>
        </w:rPr>
        <w:t>厦门市分行2026年福建海洋</w:t>
      </w:r>
      <w:r>
        <w:rPr>
          <w:rFonts w:hint="eastAsia" w:ascii="彩虹粗仿宋" w:hAnsi="彩虹小标宋" w:eastAsia="彩虹粗仿宋" w:cs="彩虹小标宋"/>
          <w:b/>
          <w:bCs/>
          <w:kern w:val="0"/>
          <w:sz w:val="30"/>
          <w:szCs w:val="30"/>
          <w:shd w:val="clear" w:color="auto" w:fill="FFFFFF"/>
          <w:lang w:eastAsia="zh-CN"/>
        </w:rPr>
        <w:t>研究</w:t>
      </w:r>
      <w:r>
        <w:rPr>
          <w:rFonts w:hint="eastAsia" w:ascii="彩虹粗仿宋" w:hAnsi="彩虹小标宋" w:eastAsia="彩虹粗仿宋" w:cs="彩虹小标宋"/>
          <w:b/>
          <w:bCs/>
          <w:kern w:val="0"/>
          <w:sz w:val="30"/>
          <w:szCs w:val="30"/>
          <w:shd w:val="clear" w:color="auto" w:fill="FFFFFF"/>
        </w:rPr>
        <w:t>所</w:t>
      </w:r>
      <w:r>
        <w:rPr>
          <w:rFonts w:hint="eastAsia" w:ascii="彩虹粗仿宋" w:hAnsi="彩虹小标宋" w:eastAsia="彩虹粗仿宋" w:cs="彩虹小标宋"/>
          <w:b/>
          <w:bCs/>
          <w:kern w:val="0"/>
          <w:sz w:val="30"/>
          <w:szCs w:val="30"/>
          <w:shd w:val="clear" w:color="auto" w:fill="FFFFFF"/>
          <w:lang w:val="en-US" w:eastAsia="zh-CN"/>
        </w:rPr>
        <w:t>项目</w:t>
      </w:r>
      <w:r>
        <w:rPr>
          <w:rFonts w:hint="eastAsia" w:ascii="彩虹粗仿宋" w:hAnsi="彩虹小标宋" w:eastAsia="彩虹粗仿宋" w:cs="彩虹小标宋"/>
          <w:b/>
          <w:bCs/>
          <w:kern w:val="0"/>
          <w:sz w:val="30"/>
          <w:szCs w:val="30"/>
          <w:shd w:val="clear" w:color="auto" w:fill="FFFFFF"/>
        </w:rPr>
        <w:t>管理信息化</w:t>
      </w:r>
      <w:r>
        <w:rPr>
          <w:rFonts w:hint="eastAsia" w:ascii="彩虹粗仿宋" w:hAnsi="彩虹小标宋" w:eastAsia="彩虹粗仿宋" w:cs="彩虹小标宋"/>
          <w:b/>
          <w:bCs/>
          <w:kern w:val="0"/>
          <w:sz w:val="30"/>
          <w:szCs w:val="30"/>
          <w:shd w:val="clear" w:color="auto" w:fill="FFFFFF"/>
          <w:lang w:val="en-US" w:eastAsia="zh-CN"/>
        </w:rPr>
        <w:t>系统开发</w:t>
      </w:r>
      <w:r>
        <w:rPr>
          <w:rFonts w:hint="eastAsia" w:ascii="彩虹粗仿宋" w:hAnsi="彩虹小标宋" w:eastAsia="彩虹粗仿宋" w:cs="彩虹小标宋"/>
          <w:b/>
          <w:bCs/>
          <w:kern w:val="0"/>
          <w:sz w:val="30"/>
          <w:szCs w:val="30"/>
          <w:shd w:val="clear" w:color="auto" w:fill="FFFFFF"/>
        </w:rPr>
        <w:t>采购需求</w:t>
      </w:r>
    </w:p>
    <w:p>
      <w:pPr>
        <w:adjustRightInd w:val="0"/>
        <w:spacing w:line="587" w:lineRule="atLeast"/>
        <w:ind w:firstLine="562" w:firstLineChars="200"/>
        <w:rPr>
          <w:rFonts w:ascii="彩虹粗仿宋" w:hAnsi="宋体" w:eastAsia="彩虹粗仿宋" w:cs="Times New Roman"/>
          <w:b/>
          <w:snapToGrid w:val="0"/>
          <w:kern w:val="0"/>
          <w:sz w:val="28"/>
          <w:szCs w:val="28"/>
        </w:rPr>
      </w:pPr>
      <w:r>
        <w:rPr>
          <w:rFonts w:hint="eastAsia" w:ascii="彩虹粗仿宋" w:hAnsi="宋体" w:eastAsia="彩虹粗仿宋" w:cs="Times New Roman"/>
          <w:b/>
          <w:snapToGrid w:val="0"/>
          <w:kern w:val="0"/>
          <w:sz w:val="28"/>
          <w:szCs w:val="28"/>
        </w:rPr>
        <w:t>（一）项目名称</w:t>
      </w:r>
    </w:p>
    <w:p>
      <w:pPr>
        <w:spacing w:line="587" w:lineRule="atLeast"/>
        <w:ind w:firstLine="560" w:firstLineChars="200"/>
        <w:rPr>
          <w:rFonts w:hint="default" w:ascii="彩虹粗仿宋" w:hAnsi="宋体" w:eastAsia="彩虹粗仿宋" w:cs="Times New Roman"/>
          <w:snapToGrid w:val="0"/>
          <w:sz w:val="28"/>
          <w:szCs w:val="28"/>
          <w:lang w:val="en-US" w:eastAsia="zh-CN"/>
        </w:rPr>
      </w:pPr>
      <w:r>
        <w:rPr>
          <w:rFonts w:hint="eastAsia" w:ascii="彩虹粗仿宋" w:hAnsi="宋体" w:eastAsia="彩虹粗仿宋" w:cs="Times New Roman"/>
          <w:snapToGrid w:val="0"/>
          <w:sz w:val="28"/>
          <w:szCs w:val="28"/>
        </w:rPr>
        <w:t>厦门市分行2026年福建海洋</w:t>
      </w:r>
      <w:r>
        <w:rPr>
          <w:rFonts w:hint="eastAsia" w:ascii="彩虹粗仿宋" w:hAnsi="宋体" w:eastAsia="彩虹粗仿宋" w:cs="Times New Roman"/>
          <w:snapToGrid w:val="0"/>
          <w:sz w:val="28"/>
          <w:szCs w:val="28"/>
          <w:lang w:eastAsia="zh-CN"/>
        </w:rPr>
        <w:t>研究</w:t>
      </w:r>
      <w:r>
        <w:rPr>
          <w:rFonts w:hint="eastAsia" w:ascii="彩虹粗仿宋" w:hAnsi="宋体" w:eastAsia="彩虹粗仿宋" w:cs="Times New Roman"/>
          <w:snapToGrid w:val="0"/>
          <w:sz w:val="28"/>
          <w:szCs w:val="28"/>
        </w:rPr>
        <w:t>所</w:t>
      </w:r>
      <w:r>
        <w:rPr>
          <w:rFonts w:hint="eastAsia" w:ascii="彩虹粗仿宋" w:hAnsi="宋体" w:eastAsia="彩虹粗仿宋" w:cs="Times New Roman"/>
          <w:snapToGrid w:val="0"/>
          <w:sz w:val="28"/>
          <w:szCs w:val="28"/>
          <w:lang w:val="en-US" w:eastAsia="zh-CN"/>
        </w:rPr>
        <w:t>项目</w:t>
      </w:r>
      <w:r>
        <w:rPr>
          <w:rFonts w:hint="eastAsia" w:ascii="彩虹粗仿宋" w:hAnsi="宋体" w:eastAsia="彩虹粗仿宋" w:cs="Times New Roman"/>
          <w:snapToGrid w:val="0"/>
          <w:sz w:val="28"/>
          <w:szCs w:val="28"/>
          <w:lang w:eastAsia="zh-CN"/>
        </w:rPr>
        <w:t>管理信息化</w:t>
      </w:r>
      <w:r>
        <w:rPr>
          <w:rFonts w:hint="eastAsia" w:ascii="彩虹粗仿宋" w:hAnsi="宋体" w:eastAsia="彩虹粗仿宋" w:cs="Times New Roman"/>
          <w:snapToGrid w:val="0"/>
          <w:sz w:val="28"/>
          <w:szCs w:val="28"/>
          <w:lang w:val="en-US" w:eastAsia="zh-CN"/>
        </w:rPr>
        <w:t>系统开发</w:t>
      </w:r>
    </w:p>
    <w:p>
      <w:pPr>
        <w:adjustRightInd w:val="0"/>
        <w:spacing w:line="587" w:lineRule="atLeast"/>
        <w:ind w:firstLine="562" w:firstLineChars="200"/>
        <w:rPr>
          <w:rFonts w:ascii="彩虹粗仿宋" w:hAnsi="宋体" w:eastAsia="彩虹粗仿宋" w:cs="Times New Roman"/>
          <w:b/>
          <w:snapToGrid w:val="0"/>
          <w:kern w:val="0"/>
          <w:sz w:val="28"/>
          <w:szCs w:val="28"/>
        </w:rPr>
      </w:pPr>
      <w:r>
        <w:rPr>
          <w:rFonts w:hint="eastAsia" w:ascii="彩虹粗仿宋" w:hAnsi="宋体" w:eastAsia="彩虹粗仿宋" w:cs="Times New Roman"/>
          <w:b/>
          <w:snapToGrid w:val="0"/>
          <w:kern w:val="0"/>
          <w:sz w:val="28"/>
          <w:szCs w:val="28"/>
        </w:rPr>
        <w:t>（二）服务内容</w:t>
      </w:r>
    </w:p>
    <w:p>
      <w:pPr>
        <w:spacing w:line="587" w:lineRule="atLeast"/>
        <w:ind w:firstLine="560" w:firstLineChars="200"/>
        <w:rPr>
          <w:rFonts w:ascii="彩虹粗仿宋" w:hAnsi="宋体" w:eastAsia="彩虹粗仿宋" w:cs="Times New Roman"/>
          <w:snapToGrid w:val="0"/>
          <w:sz w:val="28"/>
          <w:szCs w:val="28"/>
        </w:rPr>
      </w:pPr>
      <w:r>
        <w:rPr>
          <w:rFonts w:hint="eastAsia" w:ascii="彩虹粗仿宋" w:hAnsi="宋体" w:eastAsia="彩虹粗仿宋" w:cs="Times New Roman"/>
          <w:snapToGrid w:val="0"/>
          <w:sz w:val="28"/>
          <w:szCs w:val="28"/>
          <w:lang w:eastAsia="zh-CN"/>
        </w:rPr>
        <w:t>设计开发项目管理信息化系统，提升项目管理效率，</w:t>
      </w:r>
      <w:r>
        <w:rPr>
          <w:rFonts w:hint="eastAsia" w:ascii="彩虹粗仿宋" w:hAnsi="宋体" w:eastAsia="彩虹粗仿宋" w:cs="Times New Roman"/>
          <w:snapToGrid w:val="0"/>
          <w:sz w:val="28"/>
          <w:szCs w:val="28"/>
        </w:rPr>
        <w:t>通过系统互通消除业务流程断点，进一步深化</w:t>
      </w:r>
      <w:r>
        <w:rPr>
          <w:rFonts w:hint="eastAsia" w:ascii="彩虹粗仿宋" w:hAnsi="宋体" w:eastAsia="彩虹粗仿宋" w:cs="Times New Roman"/>
          <w:snapToGrid w:val="0"/>
          <w:sz w:val="28"/>
          <w:szCs w:val="28"/>
          <w:lang w:eastAsia="zh-CN"/>
        </w:rPr>
        <w:t>银政合作</w:t>
      </w:r>
      <w:r>
        <w:rPr>
          <w:rFonts w:hint="eastAsia" w:ascii="彩虹粗仿宋" w:hAnsi="宋体" w:eastAsia="彩虹粗仿宋" w:cs="Times New Roman"/>
          <w:snapToGrid w:val="0"/>
          <w:sz w:val="28"/>
          <w:szCs w:val="28"/>
        </w:rPr>
        <w:t>。系统主要功能如下：</w:t>
      </w:r>
    </w:p>
    <w:tbl>
      <w:tblPr>
        <w:tblStyle w:val="8"/>
        <w:tblW w:w="5039" w:type="pct"/>
        <w:jc w:val="center"/>
        <w:tblLayout w:type="autofit"/>
        <w:tblCellMar>
          <w:top w:w="0" w:type="dxa"/>
          <w:left w:w="108" w:type="dxa"/>
          <w:bottom w:w="0" w:type="dxa"/>
          <w:right w:w="108" w:type="dxa"/>
        </w:tblCellMar>
      </w:tblPr>
      <w:tblGrid>
        <w:gridCol w:w="468"/>
        <w:gridCol w:w="1251"/>
        <w:gridCol w:w="6869"/>
      </w:tblGrid>
      <w:tr>
        <w:tblPrEx>
          <w:tblCellMar>
            <w:top w:w="0" w:type="dxa"/>
            <w:left w:w="108" w:type="dxa"/>
            <w:bottom w:w="0" w:type="dxa"/>
            <w:right w:w="108" w:type="dxa"/>
          </w:tblCellMar>
        </w:tblPrEx>
        <w:trPr>
          <w:trHeight w:val="380" w:hRule="atLeast"/>
          <w:jc w:val="center"/>
        </w:trPr>
        <w:tc>
          <w:tcPr>
            <w:tcW w:w="273"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　</w:t>
            </w:r>
          </w:p>
        </w:tc>
        <w:tc>
          <w:tcPr>
            <w:tcW w:w="728" w:type="pct"/>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eastAsia="宋体"/>
                <w:color w:val="000000" w:themeColor="text1"/>
                <w:sz w:val="18"/>
                <w:szCs w:val="18"/>
                <w:lang w:eastAsia="zh-CN"/>
                <w14:textFill>
                  <w14:solidFill>
                    <w14:schemeClr w14:val="tx1"/>
                  </w14:solidFill>
                </w14:textFill>
              </w:rPr>
            </w:pPr>
            <w:r>
              <w:rPr>
                <w:rFonts w:hint="eastAsia" w:ascii="宋体" w:eastAsia="宋体"/>
                <w:color w:val="000000" w:themeColor="text1"/>
                <w:sz w:val="18"/>
                <w:szCs w:val="18"/>
                <w:lang w:eastAsia="zh-CN"/>
                <w14:textFill>
                  <w14:solidFill>
                    <w14:schemeClr w14:val="tx1"/>
                  </w14:solidFill>
                </w14:textFill>
              </w:rPr>
              <w:t>产品模块</w:t>
            </w:r>
          </w:p>
        </w:tc>
        <w:tc>
          <w:tcPr>
            <w:tcW w:w="3998"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功能简述</w:t>
            </w:r>
          </w:p>
        </w:tc>
      </w:tr>
      <w:tr>
        <w:tblPrEx>
          <w:tblCellMar>
            <w:top w:w="0" w:type="dxa"/>
            <w:left w:w="108" w:type="dxa"/>
            <w:bottom w:w="0" w:type="dxa"/>
            <w:right w:w="108" w:type="dxa"/>
          </w:tblCellMar>
        </w:tblPrEx>
        <w:trPr>
          <w:trHeight w:val="369" w:hRule="atLeast"/>
          <w:jc w:val="center"/>
        </w:trPr>
        <w:tc>
          <w:tcPr>
            <w:tcW w:w="27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1</w:t>
            </w:r>
          </w:p>
        </w:tc>
        <w:tc>
          <w:tcPr>
            <w:tcW w:w="72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eastAsia="宋体"/>
                <w:color w:val="000000" w:themeColor="text1"/>
                <w:sz w:val="18"/>
                <w:szCs w:val="18"/>
                <w:lang w:eastAsia="zh-CN"/>
                <w14:textFill>
                  <w14:solidFill>
                    <w14:schemeClr w14:val="tx1"/>
                  </w14:solidFill>
                </w14:textFill>
              </w:rPr>
            </w:pPr>
            <w:r>
              <w:rPr>
                <w:rFonts w:hint="eastAsia" w:ascii="宋体" w:eastAsia="宋体"/>
                <w:color w:val="000000" w:themeColor="text1"/>
                <w:sz w:val="18"/>
                <w:szCs w:val="18"/>
                <w:lang w:eastAsia="zh-CN"/>
                <w14:textFill>
                  <w14:solidFill>
                    <w14:schemeClr w14:val="tx1"/>
                  </w14:solidFill>
                </w14:textFill>
              </w:rPr>
              <w:t>项目管理</w:t>
            </w:r>
          </w:p>
        </w:tc>
        <w:tc>
          <w:tcPr>
            <w:tcW w:w="399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开发项目管理报表系统，实现新项目线上化、报表化</w:t>
            </w:r>
          </w:p>
        </w:tc>
      </w:tr>
      <w:tr>
        <w:tblPrEx>
          <w:tblCellMar>
            <w:top w:w="0" w:type="dxa"/>
            <w:left w:w="108" w:type="dxa"/>
            <w:bottom w:w="0" w:type="dxa"/>
            <w:right w:w="108" w:type="dxa"/>
          </w:tblCellMar>
        </w:tblPrEx>
        <w:trPr>
          <w:trHeight w:val="380" w:hRule="atLeast"/>
          <w:jc w:val="center"/>
        </w:trPr>
        <w:tc>
          <w:tcPr>
            <w:tcW w:w="27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eastAsia="宋体"/>
                <w:color w:val="000000" w:themeColor="text1"/>
                <w:sz w:val="18"/>
                <w:szCs w:val="18"/>
                <w14:textFill>
                  <w14:solidFill>
                    <w14:schemeClr w14:val="tx1"/>
                  </w14:solidFill>
                </w14:textFill>
              </w:rPr>
            </w:pPr>
          </w:p>
        </w:tc>
        <w:tc>
          <w:tcPr>
            <w:tcW w:w="728"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eastAsia="宋体"/>
                <w:color w:val="000000" w:themeColor="text1"/>
                <w:sz w:val="18"/>
                <w:szCs w:val="18"/>
                <w14:textFill>
                  <w14:solidFill>
                    <w14:schemeClr w14:val="tx1"/>
                  </w14:solidFill>
                </w14:textFill>
              </w:rPr>
            </w:pPr>
          </w:p>
        </w:tc>
        <w:tc>
          <w:tcPr>
            <w:tcW w:w="399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旧项目归档、核对、清算，完成项目的建档与核对</w:t>
            </w:r>
          </w:p>
        </w:tc>
      </w:tr>
      <w:tr>
        <w:tblPrEx>
          <w:tblCellMar>
            <w:top w:w="0" w:type="dxa"/>
            <w:left w:w="108" w:type="dxa"/>
            <w:bottom w:w="0" w:type="dxa"/>
            <w:right w:w="108" w:type="dxa"/>
          </w:tblCellMar>
        </w:tblPrEx>
        <w:trPr>
          <w:trHeight w:val="438" w:hRule="atLeast"/>
          <w:jc w:val="center"/>
        </w:trPr>
        <w:tc>
          <w:tcPr>
            <w:tcW w:w="273"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eastAsia="宋体"/>
                <w:color w:val="000000" w:themeColor="text1"/>
                <w:sz w:val="18"/>
                <w:szCs w:val="18"/>
                <w:lang w:val="en-US" w:eastAsia="zh-CN"/>
                <w14:textFill>
                  <w14:solidFill>
                    <w14:schemeClr w14:val="tx1"/>
                  </w14:solidFill>
                </w14:textFill>
              </w:rPr>
            </w:pPr>
            <w:r>
              <w:rPr>
                <w:rFonts w:hint="eastAsia" w:ascii="宋体" w:eastAsia="宋体"/>
                <w:color w:val="000000" w:themeColor="text1"/>
                <w:sz w:val="18"/>
                <w:szCs w:val="18"/>
                <w:lang w:val="en-US" w:eastAsia="zh-CN"/>
                <w14:textFill>
                  <w14:solidFill>
                    <w14:schemeClr w14:val="tx1"/>
                  </w14:solidFill>
                </w14:textFill>
              </w:rPr>
              <w:t>2</w:t>
            </w:r>
          </w:p>
        </w:tc>
        <w:tc>
          <w:tcPr>
            <w:tcW w:w="728" w:type="pct"/>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核算系统</w:t>
            </w:r>
          </w:p>
        </w:tc>
        <w:tc>
          <w:tcPr>
            <w:tcW w:w="399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开发核算系统，项目预算执行总表、基本支出汇总表、项目支出汇总表、执行进度排序表</w:t>
            </w:r>
          </w:p>
        </w:tc>
      </w:tr>
      <w:tr>
        <w:tblPrEx>
          <w:tblCellMar>
            <w:top w:w="0" w:type="dxa"/>
            <w:left w:w="108" w:type="dxa"/>
            <w:bottom w:w="0" w:type="dxa"/>
            <w:right w:w="108" w:type="dxa"/>
          </w:tblCellMar>
        </w:tblPrEx>
        <w:trPr>
          <w:trHeight w:val="438" w:hRule="atLeast"/>
          <w:jc w:val="center"/>
        </w:trPr>
        <w:tc>
          <w:tcPr>
            <w:tcW w:w="273" w:type="pct"/>
            <w:vMerge w:val="restart"/>
            <w:tcBorders>
              <w:top w:val="single" w:color="auto" w:sz="4" w:space="0"/>
              <w:left w:val="single" w:color="auto" w:sz="4" w:space="0"/>
              <w:right w:val="single" w:color="auto" w:sz="4" w:space="0"/>
            </w:tcBorders>
            <w:shd w:val="clear" w:color="auto" w:fill="auto"/>
            <w:noWrap/>
            <w:vAlign w:val="center"/>
          </w:tcPr>
          <w:p>
            <w:pPr>
              <w:jc w:val="center"/>
              <w:rPr>
                <w:rFonts w:hint="default" w:ascii="宋体" w:eastAsia="宋体"/>
                <w:color w:val="000000" w:themeColor="text1"/>
                <w:sz w:val="18"/>
                <w:szCs w:val="18"/>
                <w:lang w:val="en-US" w:eastAsia="zh-CN"/>
                <w14:textFill>
                  <w14:solidFill>
                    <w14:schemeClr w14:val="tx1"/>
                  </w14:solidFill>
                </w14:textFill>
              </w:rPr>
            </w:pPr>
            <w:r>
              <w:rPr>
                <w:rFonts w:hint="eastAsia" w:ascii="宋体" w:eastAsia="宋体"/>
                <w:color w:val="000000" w:themeColor="text1"/>
                <w:sz w:val="18"/>
                <w:szCs w:val="18"/>
                <w:lang w:val="en-US" w:eastAsia="zh-CN"/>
                <w14:textFill>
                  <w14:solidFill>
                    <w14:schemeClr w14:val="tx1"/>
                  </w14:solidFill>
                </w14:textFill>
              </w:rPr>
              <w:t>3</w:t>
            </w:r>
          </w:p>
        </w:tc>
        <w:tc>
          <w:tcPr>
            <w:tcW w:w="728" w:type="pct"/>
            <w:vMerge w:val="restart"/>
            <w:tcBorders>
              <w:top w:val="single" w:color="auto" w:sz="4" w:space="0"/>
              <w:left w:val="single" w:color="auto" w:sz="4" w:space="0"/>
              <w:right w:val="single" w:color="auto" w:sz="4" w:space="0"/>
            </w:tcBorders>
            <w:vAlign w:val="center"/>
          </w:tcPr>
          <w:p>
            <w:pPr>
              <w:jc w:val="center"/>
              <w:rPr>
                <w:rFonts w:hint="eastAsia" w:ascii="宋体" w:eastAsia="宋体"/>
                <w:color w:val="000000" w:themeColor="text1"/>
                <w:sz w:val="18"/>
                <w:szCs w:val="18"/>
                <w:lang w:eastAsia="zh-CN"/>
                <w14:textFill>
                  <w14:solidFill>
                    <w14:schemeClr w14:val="tx1"/>
                  </w14:solidFill>
                </w14:textFill>
              </w:rPr>
            </w:pPr>
            <w:r>
              <w:rPr>
                <w:rFonts w:hint="eastAsia" w:ascii="宋体" w:eastAsia="宋体"/>
                <w:color w:val="000000" w:themeColor="text1"/>
                <w:sz w:val="18"/>
                <w:szCs w:val="18"/>
                <w:lang w:eastAsia="zh-CN"/>
                <w14:textFill>
                  <w14:solidFill>
                    <w14:schemeClr w14:val="tx1"/>
                  </w14:solidFill>
                </w14:textFill>
              </w:rPr>
              <w:t>接口对接</w:t>
            </w:r>
          </w:p>
        </w:tc>
        <w:tc>
          <w:tcPr>
            <w:tcW w:w="399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调用建行接口实现包括但不限于余额查询、流水查询、转账、汇划、明细对账、回单等接口对接</w:t>
            </w:r>
          </w:p>
        </w:tc>
      </w:tr>
      <w:tr>
        <w:tblPrEx>
          <w:tblCellMar>
            <w:top w:w="0" w:type="dxa"/>
            <w:left w:w="108" w:type="dxa"/>
            <w:bottom w:w="0" w:type="dxa"/>
            <w:right w:w="108" w:type="dxa"/>
          </w:tblCellMar>
        </w:tblPrEx>
        <w:trPr>
          <w:trHeight w:val="438" w:hRule="atLeast"/>
          <w:jc w:val="center"/>
        </w:trPr>
        <w:tc>
          <w:tcPr>
            <w:tcW w:w="273" w:type="pct"/>
            <w:vMerge w:val="continue"/>
            <w:tcBorders>
              <w:left w:val="single" w:color="auto" w:sz="4" w:space="0"/>
              <w:bottom w:val="single" w:color="auto" w:sz="4" w:space="0"/>
              <w:right w:val="single" w:color="auto" w:sz="4" w:space="0"/>
            </w:tcBorders>
            <w:shd w:val="clear" w:color="auto" w:fill="auto"/>
            <w:noWrap/>
            <w:vAlign w:val="center"/>
          </w:tcPr>
          <w:p>
            <w:pPr>
              <w:jc w:val="center"/>
              <w:rPr>
                <w:rFonts w:hint="eastAsia" w:ascii="宋体" w:eastAsia="宋体"/>
                <w:color w:val="000000" w:themeColor="text1"/>
                <w:sz w:val="18"/>
                <w:szCs w:val="18"/>
                <w:lang w:val="en-US" w:eastAsia="zh-CN"/>
                <w14:textFill>
                  <w14:solidFill>
                    <w14:schemeClr w14:val="tx1"/>
                  </w14:solidFill>
                </w14:textFill>
              </w:rPr>
            </w:pPr>
          </w:p>
        </w:tc>
        <w:tc>
          <w:tcPr>
            <w:tcW w:w="728" w:type="pct"/>
            <w:vMerge w:val="continue"/>
            <w:tcBorders>
              <w:left w:val="single" w:color="auto" w:sz="4" w:space="0"/>
              <w:bottom w:val="single" w:color="auto" w:sz="4" w:space="0"/>
              <w:right w:val="single" w:color="auto" w:sz="4" w:space="0"/>
            </w:tcBorders>
            <w:vAlign w:val="center"/>
          </w:tcPr>
          <w:p>
            <w:pPr>
              <w:jc w:val="center"/>
              <w:rPr>
                <w:rFonts w:hint="eastAsia" w:ascii="宋体" w:eastAsia="宋体"/>
                <w:color w:val="000000" w:themeColor="text1"/>
                <w:sz w:val="18"/>
                <w:szCs w:val="18"/>
                <w:lang w:eastAsia="zh-CN"/>
                <w14:textFill>
                  <w14:solidFill>
                    <w14:schemeClr w14:val="tx1"/>
                  </w14:solidFill>
                </w14:textFill>
              </w:rPr>
            </w:pPr>
          </w:p>
        </w:tc>
        <w:tc>
          <w:tcPr>
            <w:tcW w:w="399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省财政一体化端口改造对接</w:t>
            </w:r>
          </w:p>
        </w:tc>
      </w:tr>
    </w:tbl>
    <w:p>
      <w:pPr>
        <w:adjustRightInd w:val="0"/>
        <w:spacing w:line="587" w:lineRule="atLeast"/>
        <w:ind w:firstLine="562" w:firstLineChars="200"/>
        <w:rPr>
          <w:rFonts w:ascii="彩虹粗仿宋" w:hAnsi="宋体" w:eastAsia="彩虹粗仿宋" w:cs="Times New Roman"/>
          <w:snapToGrid w:val="0"/>
          <w:sz w:val="28"/>
          <w:szCs w:val="28"/>
          <w:highlight w:val="none"/>
        </w:rPr>
      </w:pPr>
      <w:r>
        <w:rPr>
          <w:rFonts w:hint="eastAsia" w:ascii="彩虹粗仿宋" w:hAnsi="宋体" w:eastAsia="彩虹粗仿宋" w:cs="Times New Roman"/>
          <w:b/>
          <w:snapToGrid w:val="0"/>
          <w:kern w:val="0"/>
          <w:sz w:val="28"/>
          <w:szCs w:val="28"/>
          <w:highlight w:val="none"/>
        </w:rPr>
        <w:t>（三）技术要求</w:t>
      </w:r>
    </w:p>
    <w:p>
      <w:pPr>
        <w:spacing w:line="587" w:lineRule="atLeast"/>
        <w:ind w:firstLine="560" w:firstLineChars="200"/>
        <w:rPr>
          <w:rFonts w:hint="eastAsia" w:ascii="彩虹粗仿宋" w:hAnsi="宋体" w:eastAsia="彩虹粗仿宋" w:cs="Times New Roman"/>
          <w:snapToGrid w:val="0"/>
          <w:sz w:val="28"/>
          <w:szCs w:val="28"/>
          <w:lang w:eastAsia="zh-CN"/>
        </w:rPr>
      </w:pPr>
      <w:r>
        <w:rPr>
          <w:rFonts w:hint="eastAsia" w:ascii="彩虹粗仿宋" w:hAnsi="宋体" w:eastAsia="彩虹粗仿宋" w:cs="Times New Roman"/>
          <w:snapToGrid w:val="0"/>
          <w:sz w:val="28"/>
          <w:szCs w:val="28"/>
          <w:lang w:eastAsia="zh-CN"/>
        </w:rPr>
        <w:t>搭建项目管理信息化系统</w:t>
      </w:r>
      <w:r>
        <w:rPr>
          <w:rFonts w:hint="eastAsia" w:ascii="彩虹粗仿宋" w:hAnsi="宋体" w:eastAsia="彩虹粗仿宋" w:cs="Times New Roman"/>
          <w:snapToGrid w:val="0"/>
          <w:sz w:val="28"/>
          <w:szCs w:val="28"/>
        </w:rPr>
        <w:t>实现科研项目全生命周期闭环管理、“项目—合同—账务”</w:t>
      </w:r>
      <w:r>
        <w:rPr>
          <w:rFonts w:hint="eastAsia" w:ascii="彩虹粗仿宋" w:hAnsi="宋体" w:eastAsia="彩虹粗仿宋" w:cs="Times New Roman"/>
          <w:snapToGrid w:val="0"/>
          <w:sz w:val="28"/>
          <w:szCs w:val="28"/>
          <w:lang w:eastAsia="zh-CN"/>
        </w:rPr>
        <w:t>三大核心业务</w:t>
      </w:r>
      <w:r>
        <w:rPr>
          <w:rFonts w:hint="eastAsia" w:ascii="彩虹粗仿宋" w:hAnsi="宋体" w:eastAsia="彩虹粗仿宋" w:cs="Times New Roman"/>
          <w:snapToGrid w:val="0"/>
          <w:sz w:val="28"/>
          <w:szCs w:val="28"/>
        </w:rPr>
        <w:t>互联互通</w:t>
      </w:r>
      <w:r>
        <w:rPr>
          <w:rFonts w:hint="eastAsia" w:ascii="彩虹粗仿宋" w:hAnsi="宋体" w:eastAsia="彩虹粗仿宋" w:cs="Times New Roman"/>
          <w:snapToGrid w:val="0"/>
          <w:sz w:val="28"/>
          <w:szCs w:val="28"/>
          <w:lang w:eastAsia="zh-CN"/>
        </w:rPr>
        <w:t>，包含以下场景：</w:t>
      </w:r>
    </w:p>
    <w:p>
      <w:pPr>
        <w:spacing w:line="587" w:lineRule="atLeast"/>
        <w:ind w:firstLine="560" w:firstLineChars="200"/>
        <w:rPr>
          <w:rFonts w:hint="eastAsia" w:ascii="彩虹粗仿宋" w:hAnsi="宋体" w:eastAsia="彩虹粗仿宋" w:cs="Times New Roman"/>
          <w:snapToGrid w:val="0"/>
          <w:sz w:val="28"/>
          <w:szCs w:val="28"/>
        </w:rPr>
      </w:pPr>
      <w:r>
        <w:rPr>
          <w:rFonts w:hint="eastAsia" w:ascii="彩虹粗仿宋" w:hAnsi="宋体" w:eastAsia="彩虹粗仿宋" w:cs="Times New Roman"/>
          <w:snapToGrid w:val="0"/>
          <w:sz w:val="28"/>
          <w:szCs w:val="28"/>
        </w:rPr>
        <w:t>1. 搭建统科研项目库</w:t>
      </w:r>
    </w:p>
    <w:p>
      <w:pPr>
        <w:spacing w:line="587" w:lineRule="atLeast"/>
        <w:ind w:firstLine="560" w:firstLineChars="200"/>
        <w:rPr>
          <w:rFonts w:hint="eastAsia" w:ascii="彩虹粗仿宋" w:hAnsi="宋体" w:eastAsia="彩虹粗仿宋" w:cs="Times New Roman"/>
          <w:snapToGrid w:val="0"/>
          <w:sz w:val="28"/>
          <w:szCs w:val="28"/>
        </w:rPr>
      </w:pPr>
      <w:bookmarkStart w:id="1" w:name="_GoBack"/>
      <w:bookmarkEnd w:id="1"/>
      <w:r>
        <w:rPr>
          <w:rFonts w:hint="eastAsia" w:ascii="彩虹粗仿宋" w:hAnsi="宋体" w:eastAsia="彩虹粗仿宋" w:cs="Times New Roman"/>
          <w:snapToGrid w:val="0"/>
          <w:sz w:val="28"/>
          <w:szCs w:val="28"/>
        </w:rPr>
        <w:t>将历史及现行项目导入到项目系统，建立项目库</w:t>
      </w:r>
      <w:r>
        <w:rPr>
          <w:rFonts w:hint="eastAsia" w:ascii="彩虹粗仿宋" w:hAnsi="宋体" w:eastAsia="彩虹粗仿宋" w:cs="Times New Roman"/>
          <w:snapToGrid w:val="0"/>
          <w:sz w:val="28"/>
          <w:szCs w:val="28"/>
          <w:lang w:eastAsia="zh-CN"/>
        </w:rPr>
        <w:t>。</w:t>
      </w:r>
      <w:r>
        <w:rPr>
          <w:rFonts w:hint="eastAsia" w:ascii="彩虹粗仿宋" w:hAnsi="宋体" w:eastAsia="彩虹粗仿宋" w:cs="Times New Roman"/>
          <w:snapToGrid w:val="0"/>
          <w:sz w:val="28"/>
          <w:szCs w:val="28"/>
        </w:rPr>
        <w:t>项目库以项目为核心管理单元，统一管理核算口径，实现项目储备、申报、审核、执行、完结、归档全流程线上化。</w:t>
      </w:r>
    </w:p>
    <w:p>
      <w:pPr>
        <w:spacing w:line="587" w:lineRule="atLeast"/>
        <w:ind w:firstLine="560" w:firstLineChars="200"/>
        <w:rPr>
          <w:rFonts w:hint="eastAsia" w:ascii="彩虹粗仿宋" w:hAnsi="宋体" w:eastAsia="彩虹粗仿宋" w:cs="Times New Roman"/>
          <w:snapToGrid w:val="0"/>
          <w:sz w:val="28"/>
          <w:szCs w:val="28"/>
        </w:rPr>
      </w:pPr>
      <w:r>
        <w:rPr>
          <w:rFonts w:hint="eastAsia" w:ascii="彩虹粗仿宋" w:hAnsi="宋体" w:eastAsia="彩虹粗仿宋" w:cs="Times New Roman"/>
          <w:snapToGrid w:val="0"/>
          <w:sz w:val="28"/>
          <w:szCs w:val="28"/>
          <w:lang w:val="en-US" w:eastAsia="zh-CN"/>
        </w:rPr>
        <w:t>2.</w:t>
      </w:r>
      <w:r>
        <w:rPr>
          <w:rFonts w:hint="eastAsia" w:ascii="彩虹粗仿宋" w:hAnsi="宋体" w:eastAsia="彩虹粗仿宋" w:cs="Times New Roman"/>
          <w:snapToGrid w:val="0"/>
          <w:sz w:val="28"/>
          <w:szCs w:val="28"/>
        </w:rPr>
        <w:t>通过银企直连</w:t>
      </w:r>
    </w:p>
    <w:p>
      <w:pPr>
        <w:spacing w:line="587" w:lineRule="atLeast"/>
        <w:ind w:firstLine="560" w:firstLineChars="200"/>
        <w:rPr>
          <w:rFonts w:ascii="彩虹粗仿宋" w:hAnsi="宋体" w:eastAsia="彩虹粗仿宋" w:cs="Times New Roman"/>
          <w:b/>
          <w:snapToGrid w:val="0"/>
          <w:kern w:val="0"/>
          <w:sz w:val="28"/>
          <w:szCs w:val="28"/>
        </w:rPr>
      </w:pPr>
      <w:r>
        <w:rPr>
          <w:rFonts w:hint="eastAsia" w:ascii="彩虹粗仿宋" w:hAnsi="宋体" w:eastAsia="彩虹粗仿宋" w:cs="Times New Roman"/>
          <w:snapToGrid w:val="0"/>
          <w:sz w:val="28"/>
          <w:szCs w:val="28"/>
        </w:rPr>
        <w:t>通过银企直联实现项目管理与资金的链接。银企直联将项目业务数据生成的账户处理指令通过调用接口直接完成，处理结果、账户明细直接反馈至机构端系统，避免在企业网银与机构端系统的来回切换。</w:t>
      </w:r>
    </w:p>
    <w:p>
      <w:pPr>
        <w:adjustRightInd w:val="0"/>
        <w:spacing w:line="587" w:lineRule="atLeast"/>
        <w:ind w:firstLine="562" w:firstLineChars="200"/>
        <w:rPr>
          <w:rFonts w:ascii="彩虹粗仿宋" w:hAnsi="宋体" w:eastAsia="彩虹粗仿宋" w:cs="Times New Roman"/>
          <w:b/>
          <w:snapToGrid w:val="0"/>
          <w:kern w:val="0"/>
          <w:sz w:val="28"/>
          <w:szCs w:val="28"/>
          <w:highlight w:val="none"/>
        </w:rPr>
      </w:pPr>
      <w:r>
        <w:rPr>
          <w:rFonts w:hint="eastAsia" w:ascii="彩虹粗仿宋" w:hAnsi="宋体" w:eastAsia="彩虹粗仿宋" w:cs="Times New Roman"/>
          <w:b/>
          <w:snapToGrid w:val="0"/>
          <w:kern w:val="0"/>
          <w:sz w:val="28"/>
          <w:szCs w:val="28"/>
          <w:highlight w:val="none"/>
        </w:rPr>
        <w:t>（四）系统开发完成时间及验收标准</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1.合同签署生效之日起3个月内完成系统上线及验收；</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2.验收标准：系统正常运行，由建设银行厦门市分行负责验收。</w:t>
      </w:r>
      <w:bookmarkStart w:id="0" w:name="TempCursorPosition"/>
      <w:bookmarkEnd w:id="0"/>
    </w:p>
    <w:p>
      <w:pPr>
        <w:adjustRightInd w:val="0"/>
        <w:spacing w:line="587" w:lineRule="atLeast"/>
        <w:ind w:firstLine="562" w:firstLineChars="200"/>
        <w:rPr>
          <w:rFonts w:ascii="彩虹粗仿宋" w:hAnsi="宋体" w:eastAsia="彩虹粗仿宋" w:cs="Times New Roman"/>
          <w:b/>
          <w:snapToGrid w:val="0"/>
          <w:kern w:val="0"/>
          <w:sz w:val="28"/>
          <w:szCs w:val="28"/>
          <w:highlight w:val="none"/>
        </w:rPr>
      </w:pPr>
      <w:r>
        <w:rPr>
          <w:rFonts w:hint="eastAsia" w:ascii="彩虹粗仿宋" w:hAnsi="宋体" w:eastAsia="彩虹粗仿宋" w:cs="Times New Roman"/>
          <w:b/>
          <w:snapToGrid w:val="0"/>
          <w:kern w:val="0"/>
          <w:sz w:val="28"/>
          <w:szCs w:val="28"/>
          <w:highlight w:val="none"/>
        </w:rPr>
        <w:t>（五）服务要求</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1、本项目要求供应商团队成员不低于</w:t>
      </w:r>
      <w:r>
        <w:rPr>
          <w:rFonts w:hint="eastAsia" w:ascii="彩虹粗仿宋" w:hAnsi="宋体" w:eastAsia="彩虹粗仿宋" w:cs="Times New Roman"/>
          <w:snapToGrid w:val="0"/>
          <w:kern w:val="0"/>
          <w:sz w:val="28"/>
          <w:szCs w:val="28"/>
          <w:highlight w:val="none"/>
          <w:lang w:val="en-US" w:eastAsia="zh-CN"/>
        </w:rPr>
        <w:t>4</w:t>
      </w:r>
      <w:r>
        <w:rPr>
          <w:rFonts w:hint="eastAsia" w:ascii="彩虹粗仿宋" w:hAnsi="宋体" w:eastAsia="彩虹粗仿宋" w:cs="Times New Roman"/>
          <w:snapToGrid w:val="0"/>
          <w:kern w:val="0"/>
          <w:sz w:val="28"/>
          <w:szCs w:val="28"/>
          <w:highlight w:val="none"/>
        </w:rPr>
        <w:t>人，其中现场驻点人员不低于</w:t>
      </w:r>
      <w:r>
        <w:rPr>
          <w:rFonts w:hint="eastAsia" w:ascii="彩虹粗仿宋" w:hAnsi="宋体" w:eastAsia="彩虹粗仿宋" w:cs="Times New Roman"/>
          <w:snapToGrid w:val="0"/>
          <w:kern w:val="0"/>
          <w:sz w:val="28"/>
          <w:szCs w:val="28"/>
          <w:highlight w:val="none"/>
          <w:lang w:val="en-US" w:eastAsia="zh-CN"/>
        </w:rPr>
        <w:t>2</w:t>
      </w:r>
      <w:r>
        <w:rPr>
          <w:rFonts w:hint="eastAsia" w:ascii="彩虹粗仿宋" w:hAnsi="宋体" w:eastAsia="彩虹粗仿宋" w:cs="Times New Roman"/>
          <w:snapToGrid w:val="0"/>
          <w:kern w:val="0"/>
          <w:sz w:val="28"/>
          <w:szCs w:val="28"/>
          <w:highlight w:val="none"/>
        </w:rPr>
        <w:t>人。项目期间发生人员变动须征得甲方同意。</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2、提供维保及优化迭代服务，从项目验收通过之日起3年。</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3、在系统的服务期内，供应商应确保系统的正常使用。在接到用户服务要求后应立即做出回应，并在承诺的服务时间内实施服务。</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4、供应商应提供7×24小时的免费上门保修服务。半小时内响应，4小时内到达现场，24小时内解决故障。</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5、供应商应支持热线电话服务。提供技术咨询、故障诊断、故障排除、以及现场支持等具体的支持工作，组建并定期更新项目知识库，并对客户投诉做出相应处理。</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6、供应商应定期巡检与调优系统，确保系统始终处于高效率运行状态。</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楷体">
    <w:panose1 w:val="03000509000000000000"/>
    <w:charset w:val="86"/>
    <w:family w:val="auto"/>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彩虹小标宋">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FA9938"/>
    <w:multiLevelType w:val="multilevel"/>
    <w:tmpl w:val="6EFA9938"/>
    <w:lvl w:ilvl="0" w:tentative="0">
      <w:start w:val="1"/>
      <w:numFmt w:val="chineseCounting"/>
      <w:pStyle w:val="16"/>
      <w:suff w:val="nothing"/>
      <w:lvlText w:val="%1、"/>
      <w:lvlJc w:val="left"/>
      <w:pPr>
        <w:tabs>
          <w:tab w:val="left" w:pos="0"/>
        </w:tabs>
        <w:ind w:left="0" w:firstLine="0"/>
      </w:pPr>
      <w:rPr>
        <w:rFonts w:hint="eastAsia" w:ascii="彩虹黑体" w:hAnsi="彩虹黑体" w:eastAsia="彩虹黑体" w:cs="彩虹黑体"/>
        <w:sz w:val="32"/>
      </w:rPr>
    </w:lvl>
    <w:lvl w:ilvl="1" w:tentative="0">
      <w:start w:val="1"/>
      <w:numFmt w:val="chineseCounting"/>
      <w:pStyle w:val="17"/>
      <w:suff w:val="nothing"/>
      <w:lvlText w:val="（%2）"/>
      <w:lvlJc w:val="left"/>
      <w:pPr>
        <w:ind w:left="3828" w:firstLine="0"/>
      </w:pPr>
      <w:rPr>
        <w:rFonts w:hint="eastAsia" w:ascii="彩虹楷体" w:hAnsi="彩虹楷体" w:eastAsia="彩虹楷体" w:cs="彩虹楷体"/>
        <w:sz w:val="32"/>
      </w:rPr>
    </w:lvl>
    <w:lvl w:ilvl="2" w:tentative="0">
      <w:start w:val="1"/>
      <w:numFmt w:val="decimal"/>
      <w:pStyle w:val="18"/>
      <w:suff w:val="nothing"/>
      <w:lvlText w:val="%3．"/>
      <w:lvlJc w:val="left"/>
      <w:pPr>
        <w:ind w:left="0" w:firstLine="400"/>
      </w:pPr>
      <w:rPr>
        <w:rFonts w:hint="eastAsia" w:ascii="彩虹粗仿宋" w:hAnsi="彩虹粗仿宋" w:eastAsia="彩虹粗仿宋" w:cs="彩虹粗仿宋"/>
        <w:sz w:val="32"/>
      </w:rPr>
    </w:lvl>
    <w:lvl w:ilvl="3" w:tentative="0">
      <w:start w:val="1"/>
      <w:numFmt w:val="decimal"/>
      <w:pStyle w:val="19"/>
      <w:suff w:val="nothing"/>
      <w:lvlText w:val="（%4）"/>
      <w:lvlJc w:val="left"/>
      <w:pPr>
        <w:ind w:left="0" w:firstLine="402"/>
      </w:pPr>
      <w:rPr>
        <w:rFonts w:hint="eastAsia" w:ascii="彩虹粗仿宋" w:hAnsi="彩虹粗仿宋" w:eastAsia="彩虹粗仿宋" w:cs="彩虹粗仿宋"/>
        <w:sz w:val="32"/>
      </w:rPr>
    </w:lvl>
    <w:lvl w:ilvl="4" w:tentative="0">
      <w:start w:val="1"/>
      <w:numFmt w:val="decimalEnclosedCircleChinese"/>
      <w:pStyle w:val="2"/>
      <w:suff w:val="nothing"/>
      <w:lvlText w:val="%5"/>
      <w:lvlJc w:val="left"/>
      <w:pPr>
        <w:ind w:left="0" w:firstLine="402"/>
      </w:pPr>
      <w:rPr>
        <w:rFonts w:hint="eastAsia"/>
      </w:rPr>
    </w:lvl>
    <w:lvl w:ilvl="5" w:tentative="0">
      <w:start w:val="1"/>
      <w:numFmt w:val="decimal"/>
      <w:pStyle w:val="3"/>
      <w:suff w:val="nothing"/>
      <w:lvlText w:val="%6）"/>
      <w:lvlJc w:val="left"/>
      <w:pPr>
        <w:ind w:left="0" w:firstLine="402"/>
      </w:pPr>
      <w:rPr>
        <w:rFonts w:hint="eastAsia"/>
      </w:rPr>
    </w:lvl>
    <w:lvl w:ilvl="6" w:tentative="0">
      <w:start w:val="1"/>
      <w:numFmt w:val="lowerLetter"/>
      <w:pStyle w:val="4"/>
      <w:suff w:val="nothing"/>
      <w:lvlText w:val="%7．"/>
      <w:lvlJc w:val="left"/>
      <w:pPr>
        <w:ind w:left="0" w:firstLine="402"/>
      </w:pPr>
      <w:rPr>
        <w:rFonts w:hint="eastAsia"/>
      </w:rPr>
    </w:lvl>
    <w:lvl w:ilvl="7" w:tentative="0">
      <w:start w:val="1"/>
      <w:numFmt w:val="lowerLetter"/>
      <w:pStyle w:val="5"/>
      <w:suff w:val="nothing"/>
      <w:lvlText w:val="%8）"/>
      <w:lvlJc w:val="left"/>
      <w:pPr>
        <w:ind w:left="0" w:firstLine="402"/>
      </w:pPr>
      <w:rPr>
        <w:rFonts w:hint="eastAsia"/>
      </w:rPr>
    </w:lvl>
    <w:lvl w:ilvl="8" w:tentative="0">
      <w:start w:val="1"/>
      <w:numFmt w:val="lowerRoman"/>
      <w:pStyle w:val="6"/>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40F"/>
    <w:rsid w:val="0003252D"/>
    <w:rsid w:val="001E1997"/>
    <w:rsid w:val="001F440B"/>
    <w:rsid w:val="005F05D8"/>
    <w:rsid w:val="00601FF9"/>
    <w:rsid w:val="00667153"/>
    <w:rsid w:val="00AD27DB"/>
    <w:rsid w:val="00BB44C0"/>
    <w:rsid w:val="00BB737C"/>
    <w:rsid w:val="00DA240F"/>
    <w:rsid w:val="00F831F8"/>
    <w:rsid w:val="00F83D12"/>
    <w:rsid w:val="017930F7"/>
    <w:rsid w:val="05DB7E28"/>
    <w:rsid w:val="0602587F"/>
    <w:rsid w:val="09F350AD"/>
    <w:rsid w:val="16A460D4"/>
    <w:rsid w:val="19FF026D"/>
    <w:rsid w:val="279E6304"/>
    <w:rsid w:val="2B567EA6"/>
    <w:rsid w:val="2B5833A9"/>
    <w:rsid w:val="339FE6EF"/>
    <w:rsid w:val="39FB2681"/>
    <w:rsid w:val="3E89663D"/>
    <w:rsid w:val="46726720"/>
    <w:rsid w:val="4E06200F"/>
    <w:rsid w:val="55137719"/>
    <w:rsid w:val="66D95523"/>
    <w:rsid w:val="704A7750"/>
    <w:rsid w:val="7AD732ED"/>
    <w:rsid w:val="7F3D31FA"/>
    <w:rsid w:val="83D94D5E"/>
    <w:rsid w:val="C75D1B8F"/>
    <w:rsid w:val="CBE91471"/>
    <w:rsid w:val="EFEB1C66"/>
    <w:rsid w:val="F7FFE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next w:val="1"/>
    <w:link w:val="10"/>
    <w:semiHidden/>
    <w:unhideWhenUsed/>
    <w:qFormat/>
    <w:uiPriority w:val="9"/>
    <w:pPr>
      <w:keepNext/>
      <w:keepLines/>
      <w:widowControl/>
      <w:numPr>
        <w:ilvl w:val="4"/>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90" w:line="372" w:lineRule="auto"/>
      <w:outlineLvl w:val="4"/>
    </w:pPr>
    <w:rPr>
      <w:rFonts w:ascii="彩虹粗仿宋" w:hAnsi="宋体" w:eastAsia="彩虹粗仿宋" w:cs="宋体"/>
      <w:b/>
      <w:color w:val="000000"/>
      <w:kern w:val="0"/>
      <w:sz w:val="28"/>
      <w:szCs w:val="32"/>
    </w:rPr>
  </w:style>
  <w:style w:type="paragraph" w:styleId="3">
    <w:name w:val="heading 6"/>
    <w:basedOn w:val="1"/>
    <w:next w:val="1"/>
    <w:link w:val="11"/>
    <w:semiHidden/>
    <w:unhideWhenUsed/>
    <w:qFormat/>
    <w:uiPriority w:val="9"/>
    <w:pPr>
      <w:keepNext/>
      <w:keepLines/>
      <w:widowControl/>
      <w:numPr>
        <w:ilvl w:val="5"/>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4" w:line="317" w:lineRule="auto"/>
      <w:outlineLvl w:val="5"/>
    </w:pPr>
    <w:rPr>
      <w:rFonts w:ascii="Arial" w:hAnsi="Arial" w:eastAsia="黑体" w:cs="宋体"/>
      <w:b/>
      <w:color w:val="000000"/>
      <w:kern w:val="0"/>
      <w:sz w:val="24"/>
      <w:szCs w:val="32"/>
    </w:rPr>
  </w:style>
  <w:style w:type="paragraph" w:styleId="4">
    <w:name w:val="heading 7"/>
    <w:basedOn w:val="1"/>
    <w:next w:val="1"/>
    <w:link w:val="12"/>
    <w:semiHidden/>
    <w:unhideWhenUsed/>
    <w:qFormat/>
    <w:uiPriority w:val="9"/>
    <w:pPr>
      <w:keepNext/>
      <w:keepLines/>
      <w:widowControl/>
      <w:numPr>
        <w:ilvl w:val="6"/>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4" w:line="317" w:lineRule="auto"/>
      <w:outlineLvl w:val="6"/>
    </w:pPr>
    <w:rPr>
      <w:rFonts w:ascii="彩虹粗仿宋" w:hAnsi="宋体" w:eastAsia="彩虹粗仿宋" w:cs="宋体"/>
      <w:b/>
      <w:color w:val="000000"/>
      <w:kern w:val="0"/>
      <w:sz w:val="24"/>
      <w:szCs w:val="32"/>
    </w:rPr>
  </w:style>
  <w:style w:type="paragraph" w:styleId="5">
    <w:name w:val="heading 8"/>
    <w:basedOn w:val="1"/>
    <w:next w:val="1"/>
    <w:link w:val="13"/>
    <w:semiHidden/>
    <w:unhideWhenUsed/>
    <w:qFormat/>
    <w:uiPriority w:val="9"/>
    <w:pPr>
      <w:keepNext/>
      <w:keepLines/>
      <w:widowControl/>
      <w:numPr>
        <w:ilvl w:val="7"/>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4" w:line="317" w:lineRule="auto"/>
      <w:outlineLvl w:val="7"/>
    </w:pPr>
    <w:rPr>
      <w:rFonts w:ascii="Arial" w:hAnsi="Arial" w:eastAsia="黑体" w:cs="宋体"/>
      <w:color w:val="000000"/>
      <w:kern w:val="0"/>
      <w:sz w:val="24"/>
      <w:szCs w:val="32"/>
    </w:rPr>
  </w:style>
  <w:style w:type="paragraph" w:styleId="6">
    <w:name w:val="heading 9"/>
    <w:basedOn w:val="1"/>
    <w:next w:val="1"/>
    <w:link w:val="14"/>
    <w:semiHidden/>
    <w:unhideWhenUsed/>
    <w:qFormat/>
    <w:uiPriority w:val="9"/>
    <w:pPr>
      <w:keepNext/>
      <w:keepLines/>
      <w:widowControl/>
      <w:numPr>
        <w:ilvl w:val="8"/>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4" w:line="317" w:lineRule="auto"/>
      <w:outlineLvl w:val="8"/>
    </w:pPr>
    <w:rPr>
      <w:rFonts w:ascii="Arial" w:hAnsi="Arial" w:eastAsia="黑体" w:cs="宋体"/>
      <w:color w:val="000000"/>
      <w:kern w:val="0"/>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0">
    <w:name w:val="标题 5 Char"/>
    <w:basedOn w:val="9"/>
    <w:link w:val="2"/>
    <w:semiHidden/>
    <w:qFormat/>
    <w:uiPriority w:val="9"/>
    <w:rPr>
      <w:rFonts w:ascii="彩虹粗仿宋" w:hAnsi="宋体" w:eastAsia="彩虹粗仿宋" w:cs="宋体"/>
      <w:b/>
      <w:color w:val="000000"/>
      <w:kern w:val="0"/>
      <w:sz w:val="28"/>
      <w:szCs w:val="32"/>
    </w:rPr>
  </w:style>
  <w:style w:type="character" w:customStyle="1" w:styleId="11">
    <w:name w:val="标题 6 Char"/>
    <w:basedOn w:val="9"/>
    <w:link w:val="3"/>
    <w:semiHidden/>
    <w:qFormat/>
    <w:uiPriority w:val="9"/>
    <w:rPr>
      <w:rFonts w:ascii="Arial" w:hAnsi="Arial" w:eastAsia="黑体" w:cs="宋体"/>
      <w:b/>
      <w:color w:val="000000"/>
      <w:kern w:val="0"/>
      <w:sz w:val="24"/>
      <w:szCs w:val="32"/>
    </w:rPr>
  </w:style>
  <w:style w:type="character" w:customStyle="1" w:styleId="12">
    <w:name w:val="标题 7 Char"/>
    <w:basedOn w:val="9"/>
    <w:link w:val="4"/>
    <w:semiHidden/>
    <w:qFormat/>
    <w:uiPriority w:val="9"/>
    <w:rPr>
      <w:rFonts w:ascii="彩虹粗仿宋" w:hAnsi="宋体" w:eastAsia="彩虹粗仿宋" w:cs="宋体"/>
      <w:b/>
      <w:color w:val="000000"/>
      <w:kern w:val="0"/>
      <w:sz w:val="24"/>
      <w:szCs w:val="32"/>
    </w:rPr>
  </w:style>
  <w:style w:type="character" w:customStyle="1" w:styleId="13">
    <w:name w:val="标题 8 Char"/>
    <w:basedOn w:val="9"/>
    <w:link w:val="5"/>
    <w:semiHidden/>
    <w:qFormat/>
    <w:uiPriority w:val="9"/>
    <w:rPr>
      <w:rFonts w:ascii="Arial" w:hAnsi="Arial" w:eastAsia="黑体" w:cs="宋体"/>
      <w:color w:val="000000"/>
      <w:kern w:val="0"/>
      <w:sz w:val="24"/>
      <w:szCs w:val="32"/>
    </w:rPr>
  </w:style>
  <w:style w:type="character" w:customStyle="1" w:styleId="14">
    <w:name w:val="标题 9 Char"/>
    <w:basedOn w:val="9"/>
    <w:link w:val="6"/>
    <w:semiHidden/>
    <w:qFormat/>
    <w:uiPriority w:val="9"/>
    <w:rPr>
      <w:rFonts w:ascii="Arial" w:hAnsi="Arial" w:eastAsia="黑体" w:cs="宋体"/>
      <w:color w:val="000000"/>
      <w:kern w:val="0"/>
      <w:szCs w:val="32"/>
    </w:rPr>
  </w:style>
  <w:style w:type="paragraph" w:customStyle="1" w:styleId="15">
    <w:name w:val="CCBStyleMainText"/>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ind w:firstLine="880" w:firstLineChars="200"/>
    </w:pPr>
    <w:rPr>
      <w:rFonts w:ascii="彩虹粗仿宋" w:hAnsi="彩虹粗仿宋" w:eastAsia="彩虹粗仿宋" w:cs="彩虹粗仿宋"/>
      <w:color w:val="000000"/>
      <w:kern w:val="0"/>
      <w:sz w:val="32"/>
      <w:szCs w:val="32"/>
    </w:rPr>
  </w:style>
  <w:style w:type="paragraph" w:customStyle="1" w:styleId="16">
    <w:name w:val="CCBLinkStyleFirstTitle"/>
    <w:basedOn w:val="1"/>
    <w:next w:val="15"/>
    <w:qFormat/>
    <w:uiPriority w:val="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outlineLvl w:val="0"/>
    </w:pPr>
    <w:rPr>
      <w:rFonts w:ascii="彩虹黑体" w:hAnsi="彩虹黑体" w:eastAsia="彩虹黑体" w:cs="彩虹黑体"/>
      <w:color w:val="000000"/>
      <w:kern w:val="0"/>
      <w:sz w:val="32"/>
      <w:szCs w:val="32"/>
    </w:rPr>
  </w:style>
  <w:style w:type="paragraph" w:customStyle="1" w:styleId="17">
    <w:name w:val="CCBLinkStyleSecTitle"/>
    <w:basedOn w:val="1"/>
    <w:next w:val="15"/>
    <w:qFormat/>
    <w:uiPriority w:val="0"/>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ind w:left="0"/>
      <w:outlineLvl w:val="1"/>
    </w:pPr>
    <w:rPr>
      <w:rFonts w:ascii="彩虹楷体" w:hAnsi="彩虹楷体" w:eastAsia="彩虹楷体" w:cs="彩虹楷体"/>
      <w:b/>
      <w:color w:val="000000"/>
      <w:kern w:val="0"/>
      <w:sz w:val="32"/>
      <w:szCs w:val="32"/>
    </w:rPr>
  </w:style>
  <w:style w:type="paragraph" w:customStyle="1" w:styleId="18">
    <w:name w:val="CCBLinkStyleThdTitle"/>
    <w:basedOn w:val="1"/>
    <w:next w:val="15"/>
    <w:qFormat/>
    <w:uiPriority w:val="0"/>
    <w:pPr>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ind w:firstLine="0"/>
      <w:outlineLvl w:val="2"/>
    </w:pPr>
    <w:rPr>
      <w:rFonts w:ascii="彩虹粗仿宋" w:hAnsi="彩虹粗仿宋" w:eastAsia="彩虹粗仿宋" w:cs="彩虹粗仿宋"/>
      <w:b/>
      <w:color w:val="000000"/>
      <w:kern w:val="0"/>
      <w:sz w:val="32"/>
      <w:szCs w:val="32"/>
    </w:rPr>
  </w:style>
  <w:style w:type="paragraph" w:customStyle="1" w:styleId="19">
    <w:name w:val="CCBLinkStyleFourthTitle"/>
    <w:basedOn w:val="1"/>
    <w:next w:val="15"/>
    <w:qFormat/>
    <w:uiPriority w:val="0"/>
    <w:pPr>
      <w:numPr>
        <w:ilvl w:val="3"/>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ind w:firstLine="0"/>
      <w:outlineLvl w:val="3"/>
    </w:pPr>
    <w:rPr>
      <w:rFonts w:ascii="彩虹粗仿宋" w:hAnsi="彩虹粗仿宋" w:eastAsia="彩虹粗仿宋" w:cs="彩虹粗仿宋"/>
      <w:color w:val="000000"/>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Pages>
  <Words>113</Words>
  <Characters>649</Characters>
  <Lines>5</Lines>
  <Paragraphs>1</Paragraphs>
  <TotalTime>32</TotalTime>
  <ScaleCrop>false</ScaleCrop>
  <LinksUpToDate>false</LinksUpToDate>
  <CharactersWithSpaces>761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2026-07-08T12:53:00Z</dcterms:created>
  <dc:creator>黄海涛</dc:creator>
  <cp:lastModifiedBy>Administrator</cp:lastModifiedBy>
  <dcterms:modified xsi:type="dcterms:W3CDTF">2026-09-01T07:53:19Z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01A3F54FA0422C5573B57E6A2C1A29E6_43</vt:lpwstr>
  </property>
</Properties>
</file>